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D2287" w14:textId="7FA50F40" w:rsidR="000F2A4C" w:rsidRPr="004F0161" w:rsidRDefault="0092305C" w:rsidP="004F0161">
      <w:pPr>
        <w:spacing w:line="276" w:lineRule="auto"/>
        <w:ind w:right="-874"/>
        <w:rPr>
          <w:rFonts w:cs="Arial"/>
          <w:b/>
          <w:color w:val="2B2D70"/>
        </w:rPr>
      </w:pPr>
      <w:r w:rsidRPr="004F0161">
        <w:rPr>
          <w:rFonts w:cs="Arial"/>
          <w:b/>
          <w:noProof/>
          <w:color w:val="0000FF"/>
          <w:u w:val="single"/>
        </w:rPr>
        <mc:AlternateContent>
          <mc:Choice Requires="wpg">
            <w:drawing>
              <wp:anchor distT="0" distB="0" distL="114300" distR="114300" simplePos="0" relativeHeight="251659264" behindDoc="0" locked="1" layoutInCell="1" allowOverlap="1" wp14:anchorId="71AB0149" wp14:editId="454192AF">
                <wp:simplePos x="0" y="0"/>
                <wp:positionH relativeFrom="column">
                  <wp:posOffset>1209675</wp:posOffset>
                </wp:positionH>
                <wp:positionV relativeFrom="paragraph">
                  <wp:posOffset>-920750</wp:posOffset>
                </wp:positionV>
                <wp:extent cx="3733165" cy="1638935"/>
                <wp:effectExtent l="0" t="3175" r="254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3165" cy="1638935"/>
                          <a:chOff x="2985" y="-10"/>
                          <a:chExt cx="5879" cy="2581"/>
                        </a:xfrm>
                      </wpg:grpSpPr>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223" y="-10"/>
                            <a:ext cx="3463" cy="2446"/>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2"/>
                        <wps:cNvSpPr txBox="1">
                          <a:spLocks noChangeArrowheads="1"/>
                        </wps:cNvSpPr>
                        <wps:spPr bwMode="auto">
                          <a:xfrm>
                            <a:off x="2985" y="1710"/>
                            <a:ext cx="5879" cy="8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8D481E" w14:textId="77777777" w:rsidR="000E4A42" w:rsidRPr="008D7CB0" w:rsidRDefault="000E4A42" w:rsidP="000E4A42">
                              <w:pPr>
                                <w:ind w:right="-874"/>
                                <w:rPr>
                                  <w:rFonts w:cs="Arial"/>
                                  <w:b/>
                                  <w:color w:val="0000FF"/>
                                  <w:u w:val="single"/>
                                </w:rPr>
                              </w:pPr>
                              <w:r w:rsidRPr="008D7CB0">
                                <w:rPr>
                                  <w:rFonts w:ascii="Century Gothic" w:hAnsi="Century Gothic"/>
                                  <w:b/>
                                  <w:color w:val="2B2D70"/>
                                  <w:sz w:val="36"/>
                                  <w:szCs w:val="36"/>
                                </w:rPr>
                                <w:t>Lincolnshire Housing Partnership</w:t>
                              </w:r>
                            </w:p>
                            <w:p w14:paraId="241448EB" w14:textId="77777777" w:rsidR="000E4A42" w:rsidRDefault="000E4A42"/>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1AB0149" id="Group 4" o:spid="_x0000_s1026" style="position:absolute;margin-left:95.25pt;margin-top:-72.5pt;width:293.95pt;height:129.05pt;z-index:251659264" coordorigin="2985,-10" coordsize="5879,25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223;top:-10;width:3463;height:2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">
                  <v:imagedata r:id="rId11" o:title=""/>
                </v:shape>
                <v:shapetype id="_x0000_t202" coordsize="21600,21600" o:spt="202" path="m,l,21600r21600,l21600,xe">
                  <v:stroke joinstyle="miter"/>
                  <v:path gradientshapeok="t" o:connecttype="rect"/>
                </v:shapetype>
                <v:shape id="Text Box 2" o:spid="_x0000_s1028" type="#_x0000_t202" style="position:absolute;left:2985;top:1710;width:5879;height: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018D481E" w14:textId="77777777" w:rsidR="000E4A42" w:rsidRPr="008D7CB0" w:rsidRDefault="000E4A42" w:rsidP="000E4A42">
                        <w:pPr>
                          <w:ind w:right="-874"/>
                          <w:rPr>
                            <w:rFonts w:cs="Arial"/>
                            <w:b/>
                            <w:color w:val="0000FF"/>
                            <w:u w:val="single"/>
                          </w:rPr>
                        </w:pPr>
                        <w:r w:rsidRPr="008D7CB0">
                          <w:rPr>
                            <w:rFonts w:ascii="Century Gothic" w:hAnsi="Century Gothic"/>
                            <w:b/>
                            <w:color w:val="2B2D70"/>
                            <w:sz w:val="36"/>
                            <w:szCs w:val="36"/>
                          </w:rPr>
                          <w:t>Lincolnshire Housing Partnership</w:t>
                        </w:r>
                      </w:p>
                      <w:p w14:paraId="241448EB" w14:textId="77777777" w:rsidR="000E4A42" w:rsidRDefault="000E4A42"/>
                    </w:txbxContent>
                  </v:textbox>
                </v:shape>
                <w10:anchorlock/>
              </v:group>
            </w:pict>
          </mc:Fallback>
        </mc:AlternateContent>
      </w:r>
    </w:p>
    <w:p w14:paraId="72B27EC4" w14:textId="77777777" w:rsidR="000E4A42" w:rsidRPr="004F0161" w:rsidRDefault="000E4A42" w:rsidP="004F0161">
      <w:pPr>
        <w:spacing w:line="276" w:lineRule="auto"/>
        <w:ind w:right="-874"/>
        <w:jc w:val="center"/>
        <w:rPr>
          <w:rFonts w:cs="Arial"/>
          <w:b/>
          <w:color w:val="2B2D70"/>
        </w:rPr>
      </w:pPr>
    </w:p>
    <w:p w14:paraId="44B60A5B" w14:textId="77777777" w:rsidR="00D81F2F" w:rsidRPr="004F0161" w:rsidRDefault="00092A67" w:rsidP="004F0161">
      <w:pPr>
        <w:spacing w:line="276" w:lineRule="auto"/>
        <w:rPr>
          <w:rFonts w:cs="Arial"/>
          <w:b/>
          <w:u w:val="single"/>
        </w:rPr>
      </w:pPr>
      <w:r w:rsidRPr="004F0161">
        <w:rPr>
          <w:rFonts w:cs="Arial"/>
          <w:b/>
        </w:rPr>
        <w:tab/>
      </w:r>
      <w:r w:rsidRPr="004F0161">
        <w:rPr>
          <w:rFonts w:cs="Arial"/>
          <w:b/>
        </w:rPr>
        <w:tab/>
      </w:r>
      <w:r w:rsidRPr="004F0161">
        <w:rPr>
          <w:rFonts w:cs="Arial"/>
          <w:b/>
        </w:rPr>
        <w:tab/>
      </w:r>
      <w:r w:rsidRPr="004F0161">
        <w:rPr>
          <w:rFonts w:cs="Arial"/>
          <w:b/>
        </w:rPr>
        <w:tab/>
      </w:r>
      <w:r w:rsidRPr="004F0161">
        <w:rPr>
          <w:rFonts w:cs="Arial"/>
          <w:b/>
        </w:rPr>
        <w:tab/>
      </w:r>
      <w:r w:rsidRPr="004F0161">
        <w:rPr>
          <w:rFonts w:cs="Arial"/>
          <w:b/>
        </w:rPr>
        <w:tab/>
      </w:r>
      <w:r w:rsidRPr="004F0161">
        <w:rPr>
          <w:rFonts w:cs="Arial"/>
          <w:b/>
        </w:rPr>
        <w:tab/>
      </w:r>
      <w:r w:rsidRPr="004F0161">
        <w:rPr>
          <w:rFonts w:cs="Arial"/>
          <w:b/>
        </w:rPr>
        <w:tab/>
      </w:r>
    </w:p>
    <w:p w14:paraId="16B8274B" w14:textId="77777777" w:rsidR="005B6A63" w:rsidRDefault="005B6A63" w:rsidP="004F0161">
      <w:pPr>
        <w:pStyle w:val="Heading2"/>
        <w:spacing w:line="276" w:lineRule="auto"/>
      </w:pPr>
    </w:p>
    <w:p w14:paraId="1917FD3E" w14:textId="77777777" w:rsidR="004D2B68" w:rsidRDefault="004D2B68" w:rsidP="004D2B68">
      <w:pPr>
        <w:rPr>
          <w:lang w:eastAsia="en-US"/>
        </w:rPr>
      </w:pPr>
    </w:p>
    <w:p w14:paraId="61ECA1B7" w14:textId="5311CC21" w:rsidR="004D2B68" w:rsidRPr="004D2B68" w:rsidRDefault="004D2B68" w:rsidP="004D2B68">
      <w:pPr>
        <w:jc w:val="center"/>
        <w:rPr>
          <w:lang w:eastAsia="en-US"/>
        </w:rPr>
      </w:pPr>
      <w:r>
        <w:rPr>
          <w:lang w:eastAsia="en-US"/>
        </w:rPr>
        <w:t>Annual Complaints Assurance Report 2024/25</w:t>
      </w:r>
    </w:p>
    <w:p w14:paraId="7AE15FB9" w14:textId="77777777" w:rsidR="004F0161" w:rsidRPr="004F0161" w:rsidRDefault="004F0161" w:rsidP="002724BD">
      <w:pPr>
        <w:spacing w:line="276" w:lineRule="auto"/>
        <w:rPr>
          <w:lang w:eastAsia="en-US"/>
        </w:rPr>
      </w:pPr>
    </w:p>
    <w:p w14:paraId="1F273653" w14:textId="62D82BD8" w:rsidR="000C01DF" w:rsidRPr="00AF42F3" w:rsidRDefault="000C01DF" w:rsidP="00AF1A9B">
      <w:pPr>
        <w:pBdr>
          <w:bottom w:val="single" w:sz="4" w:space="1" w:color="auto"/>
        </w:pBdr>
        <w:spacing w:after="120" w:line="276" w:lineRule="auto"/>
        <w:jc w:val="both"/>
        <w:rPr>
          <w:rFonts w:cs="Arial"/>
          <w:b/>
          <w:bCs/>
        </w:rPr>
      </w:pPr>
      <w:r w:rsidRPr="00AF42F3">
        <w:rPr>
          <w:rFonts w:cs="Arial"/>
          <w:b/>
          <w:bCs/>
        </w:rPr>
        <w:t>Introduction</w:t>
      </w:r>
    </w:p>
    <w:p w14:paraId="7E25FAAB" w14:textId="369A6CDE" w:rsidR="00BB4082" w:rsidRPr="00AF42F3" w:rsidRDefault="00103A8E" w:rsidP="00AF1A9B">
      <w:pPr>
        <w:pStyle w:val="ListParagraph"/>
        <w:numPr>
          <w:ilvl w:val="0"/>
          <w:numId w:val="39"/>
        </w:numPr>
        <w:spacing w:after="120" w:line="276" w:lineRule="auto"/>
        <w:ind w:left="567" w:hanging="567"/>
        <w:jc w:val="both"/>
        <w:rPr>
          <w:rFonts w:cs="Arial"/>
        </w:rPr>
      </w:pPr>
      <w:r w:rsidRPr="00AF42F3">
        <w:rPr>
          <w:rFonts w:cs="Arial"/>
        </w:rPr>
        <w:t>Focussing particularly on our C</w:t>
      </w:r>
      <w:r w:rsidR="0049501D" w:rsidRPr="00AF42F3">
        <w:rPr>
          <w:rFonts w:cs="Arial"/>
        </w:rPr>
        <w:t xml:space="preserve">orporate </w:t>
      </w:r>
      <w:r w:rsidR="120A7E9B" w:rsidRPr="00AF42F3">
        <w:rPr>
          <w:rFonts w:cs="Arial"/>
        </w:rPr>
        <w:t xml:space="preserve">Values </w:t>
      </w:r>
      <w:r w:rsidR="0049501D" w:rsidRPr="00AF42F3">
        <w:rPr>
          <w:rFonts w:cs="Arial"/>
        </w:rPr>
        <w:t>of Customer First, Listen, Act</w:t>
      </w:r>
      <w:r w:rsidR="4E628999" w:rsidRPr="00AF42F3">
        <w:rPr>
          <w:rFonts w:cs="Arial"/>
        </w:rPr>
        <w:t xml:space="preserve"> &amp;</w:t>
      </w:r>
      <w:r w:rsidR="0049501D" w:rsidRPr="00AF42F3">
        <w:rPr>
          <w:rFonts w:cs="Arial"/>
        </w:rPr>
        <w:t xml:space="preserve"> Learn and Together, </w:t>
      </w:r>
      <w:r w:rsidR="00887DEA" w:rsidRPr="00AF42F3">
        <w:rPr>
          <w:rFonts w:cs="Arial"/>
        </w:rPr>
        <w:t xml:space="preserve">this report </w:t>
      </w:r>
      <w:r w:rsidR="00175134" w:rsidRPr="00AF42F3">
        <w:rPr>
          <w:rFonts w:cs="Arial"/>
        </w:rPr>
        <w:t>provides the annual review of the Complaints Service, detailing what has changed</w:t>
      </w:r>
      <w:r w:rsidR="00275427" w:rsidRPr="00AF42F3">
        <w:rPr>
          <w:rFonts w:cs="Arial"/>
        </w:rPr>
        <w:t>, what we have learnt, how we are responding to lessons learnt</w:t>
      </w:r>
      <w:r w:rsidR="00BB4082" w:rsidRPr="00AF42F3">
        <w:rPr>
          <w:rFonts w:cs="Arial"/>
        </w:rPr>
        <w:t xml:space="preserve"> and the trends and themes that have arisen with the detail regarding how these are being addressed. </w:t>
      </w:r>
    </w:p>
    <w:p w14:paraId="752BF60D" w14:textId="494057ED" w:rsidR="0057712A" w:rsidRPr="00AF42F3" w:rsidRDefault="00F23C2E" w:rsidP="00AF1A9B">
      <w:pPr>
        <w:pBdr>
          <w:bottom w:val="single" w:sz="4" w:space="1" w:color="auto"/>
        </w:pBdr>
        <w:spacing w:after="120" w:line="276" w:lineRule="auto"/>
        <w:ind w:left="567" w:hanging="425"/>
        <w:jc w:val="both"/>
        <w:rPr>
          <w:rFonts w:cs="Arial"/>
          <w:b/>
          <w:bCs/>
        </w:rPr>
      </w:pPr>
      <w:r w:rsidRPr="00AF42F3">
        <w:rPr>
          <w:rFonts w:cs="Arial"/>
          <w:b/>
          <w:bCs/>
        </w:rPr>
        <w:t xml:space="preserve">Updates </w:t>
      </w:r>
    </w:p>
    <w:p w14:paraId="34A0D7F4" w14:textId="519D5D08" w:rsidR="00CF2174" w:rsidRPr="004F0161" w:rsidRDefault="00CF2174" w:rsidP="00F153FD">
      <w:pPr>
        <w:pStyle w:val="ListParagraph"/>
        <w:numPr>
          <w:ilvl w:val="0"/>
          <w:numId w:val="39"/>
        </w:numPr>
        <w:spacing w:after="120" w:line="276" w:lineRule="auto"/>
        <w:ind w:left="567" w:hanging="567"/>
        <w:jc w:val="both"/>
        <w:rPr>
          <w:rFonts w:cs="Arial"/>
        </w:rPr>
      </w:pPr>
      <w:r w:rsidRPr="004F0161">
        <w:rPr>
          <w:rFonts w:cs="Arial"/>
        </w:rPr>
        <w:t>In June 202</w:t>
      </w:r>
      <w:r w:rsidR="007342AF">
        <w:rPr>
          <w:rFonts w:cs="Arial"/>
        </w:rPr>
        <w:t>4</w:t>
      </w:r>
      <w:r w:rsidR="00540A0B">
        <w:rPr>
          <w:rFonts w:cs="Arial"/>
        </w:rPr>
        <w:t>,</w:t>
      </w:r>
      <w:r w:rsidRPr="004F0161">
        <w:rPr>
          <w:rFonts w:cs="Arial"/>
        </w:rPr>
        <w:t xml:space="preserve"> </w:t>
      </w:r>
      <w:r w:rsidR="004C4301">
        <w:rPr>
          <w:rFonts w:cs="Arial"/>
        </w:rPr>
        <w:t>we welcomed new members to our customer complaint panel</w:t>
      </w:r>
      <w:r w:rsidR="003166F9">
        <w:rPr>
          <w:rFonts w:cs="Arial"/>
        </w:rPr>
        <w:t xml:space="preserve">. Following the introduction of the updated statutory complaints handling code, the format of the meetings shifted to focus on </w:t>
      </w:r>
      <w:r w:rsidR="0048415E">
        <w:rPr>
          <w:rFonts w:cs="Arial"/>
        </w:rPr>
        <w:t>performance figures</w:t>
      </w:r>
      <w:r w:rsidR="00272A8B">
        <w:rPr>
          <w:rFonts w:cs="Arial"/>
        </w:rPr>
        <w:t xml:space="preserve"> against KPI’s, performance alongside Housemark data, </w:t>
      </w:r>
      <w:r w:rsidR="00E2567C">
        <w:rPr>
          <w:rFonts w:cs="Arial"/>
        </w:rPr>
        <w:t xml:space="preserve">discussion on trends and themes from complaints, learning and insight and </w:t>
      </w:r>
      <w:r w:rsidR="00A86504">
        <w:rPr>
          <w:rFonts w:cs="Arial"/>
        </w:rPr>
        <w:t xml:space="preserve">topics for the panel to share with other customers through our magazine. </w:t>
      </w:r>
      <w:r w:rsidRPr="004F0161">
        <w:rPr>
          <w:rFonts w:cs="Arial"/>
        </w:rPr>
        <w:t xml:space="preserve"> </w:t>
      </w:r>
    </w:p>
    <w:p w14:paraId="7ED171D8" w14:textId="1FE1BDD5" w:rsidR="00CF2174" w:rsidRDefault="00FE0241" w:rsidP="00F153FD">
      <w:pPr>
        <w:pStyle w:val="ListParagraph"/>
        <w:numPr>
          <w:ilvl w:val="0"/>
          <w:numId w:val="39"/>
        </w:numPr>
        <w:spacing w:after="120" w:line="276" w:lineRule="auto"/>
        <w:ind w:left="567" w:hanging="567"/>
        <w:jc w:val="both"/>
        <w:rPr>
          <w:rFonts w:cs="Arial"/>
        </w:rPr>
      </w:pPr>
      <w:r>
        <w:rPr>
          <w:rFonts w:cs="Arial"/>
        </w:rPr>
        <w:t>In Q</w:t>
      </w:r>
      <w:r w:rsidR="00CE36F1">
        <w:rPr>
          <w:rFonts w:cs="Arial"/>
        </w:rPr>
        <w:t>1</w:t>
      </w:r>
      <w:r>
        <w:rPr>
          <w:rFonts w:cs="Arial"/>
        </w:rPr>
        <w:t>, our quarterly customer magazine</w:t>
      </w:r>
      <w:r w:rsidR="00A62A8B">
        <w:rPr>
          <w:rFonts w:cs="Arial"/>
        </w:rPr>
        <w:t xml:space="preserve"> was updated to include a standing item regarding complaints communications to our customers. This comprises of our performance, </w:t>
      </w:r>
      <w:r w:rsidR="00FC27DF">
        <w:rPr>
          <w:rFonts w:cs="Arial"/>
        </w:rPr>
        <w:t xml:space="preserve">trends and themes, and an article summarising the discussion held at the panel meeting </w:t>
      </w:r>
      <w:r w:rsidR="00DD2117">
        <w:rPr>
          <w:rFonts w:cs="Arial"/>
        </w:rPr>
        <w:t xml:space="preserve">that is co-written with the panel members and Customer Experience Manager. </w:t>
      </w:r>
    </w:p>
    <w:p w14:paraId="69382CBE" w14:textId="2929295E" w:rsidR="00D5308A" w:rsidRPr="00131256" w:rsidRDefault="00D5308A" w:rsidP="00131256">
      <w:pPr>
        <w:pStyle w:val="ListParagraph"/>
        <w:numPr>
          <w:ilvl w:val="0"/>
          <w:numId w:val="39"/>
        </w:numPr>
        <w:spacing w:after="120" w:line="276" w:lineRule="auto"/>
        <w:ind w:left="567" w:hanging="567"/>
        <w:jc w:val="both"/>
        <w:rPr>
          <w:rFonts w:cs="Arial"/>
        </w:rPr>
      </w:pPr>
      <w:r>
        <w:rPr>
          <w:rFonts w:cs="Arial"/>
        </w:rPr>
        <w:t xml:space="preserve">A </w:t>
      </w:r>
      <w:r w:rsidR="00FC2080">
        <w:rPr>
          <w:rFonts w:cs="Arial"/>
        </w:rPr>
        <w:t xml:space="preserve">second panel meeting in October 2024 </w:t>
      </w:r>
      <w:r w:rsidR="0083581E">
        <w:rPr>
          <w:rFonts w:cs="Arial"/>
        </w:rPr>
        <w:t xml:space="preserve">discussion centred around LHP’s repairs service, with </w:t>
      </w:r>
      <w:r w:rsidR="00E32000">
        <w:rPr>
          <w:rFonts w:cs="Arial"/>
        </w:rPr>
        <w:t xml:space="preserve">recommendations feeding into the consultation happening at the time. </w:t>
      </w:r>
      <w:r w:rsidR="00DD5C93">
        <w:rPr>
          <w:rFonts w:cs="Arial"/>
        </w:rPr>
        <w:t xml:space="preserve">There was also discussion around the service requests vs complaints and the panel </w:t>
      </w:r>
      <w:r w:rsidR="00F50F1D">
        <w:rPr>
          <w:rFonts w:cs="Arial"/>
        </w:rPr>
        <w:t>updated customers via the magazine on the ways that they could make a complaint.</w:t>
      </w:r>
      <w:r>
        <w:rPr>
          <w:rFonts w:cs="Arial"/>
        </w:rPr>
        <w:t xml:space="preserve">  </w:t>
      </w:r>
    </w:p>
    <w:p w14:paraId="04C10AA6" w14:textId="261C38F0" w:rsidR="00615F15" w:rsidRPr="000C1EF3" w:rsidRDefault="00615F15" w:rsidP="00F153FD">
      <w:pPr>
        <w:pStyle w:val="ListParagraph"/>
        <w:numPr>
          <w:ilvl w:val="0"/>
          <w:numId w:val="39"/>
        </w:numPr>
        <w:spacing w:after="120" w:line="276" w:lineRule="auto"/>
        <w:ind w:left="567" w:hanging="567"/>
        <w:jc w:val="both"/>
        <w:rPr>
          <w:rFonts w:cs="Arial"/>
        </w:rPr>
      </w:pPr>
      <w:r w:rsidRPr="000C1EF3">
        <w:rPr>
          <w:rFonts w:cs="Arial"/>
        </w:rPr>
        <w:t xml:space="preserve">The </w:t>
      </w:r>
      <w:r w:rsidR="00071A50">
        <w:rPr>
          <w:rFonts w:cs="Arial"/>
        </w:rPr>
        <w:t>C</w:t>
      </w:r>
      <w:r w:rsidRPr="000C1EF3">
        <w:rPr>
          <w:rFonts w:cs="Arial"/>
        </w:rPr>
        <w:t xml:space="preserve">ustomer </w:t>
      </w:r>
      <w:r w:rsidR="00071A50">
        <w:rPr>
          <w:rFonts w:cs="Arial"/>
        </w:rPr>
        <w:t>E</w:t>
      </w:r>
      <w:r w:rsidRPr="000C1EF3">
        <w:rPr>
          <w:rFonts w:cs="Arial"/>
        </w:rPr>
        <w:t xml:space="preserve">xperience </w:t>
      </w:r>
      <w:r w:rsidR="00071A50">
        <w:rPr>
          <w:rFonts w:cs="Arial"/>
        </w:rPr>
        <w:t>M</w:t>
      </w:r>
      <w:r w:rsidRPr="000C1EF3">
        <w:rPr>
          <w:rFonts w:cs="Arial"/>
        </w:rPr>
        <w:t xml:space="preserve">anager is a part of a customer experience/complaints networking group that shares queries and best practice across the sector. </w:t>
      </w:r>
    </w:p>
    <w:p w14:paraId="32C0843A" w14:textId="570BCEAA" w:rsidR="00E9564F" w:rsidRPr="004F0161" w:rsidRDefault="00414CC5" w:rsidP="00F153FD">
      <w:pPr>
        <w:pStyle w:val="ListParagraph"/>
        <w:numPr>
          <w:ilvl w:val="0"/>
          <w:numId w:val="39"/>
        </w:numPr>
        <w:spacing w:after="120" w:line="276" w:lineRule="auto"/>
        <w:ind w:left="567" w:hanging="567"/>
        <w:jc w:val="both"/>
        <w:rPr>
          <w:rFonts w:cs="Arial"/>
        </w:rPr>
      </w:pPr>
      <w:r>
        <w:rPr>
          <w:rFonts w:cs="Arial"/>
        </w:rPr>
        <w:t>T</w:t>
      </w:r>
      <w:r w:rsidR="00B54FA6">
        <w:rPr>
          <w:rFonts w:cs="Arial"/>
        </w:rPr>
        <w:t xml:space="preserve">his year </w:t>
      </w:r>
      <w:r w:rsidR="002C04FC">
        <w:rPr>
          <w:rFonts w:cs="Arial"/>
        </w:rPr>
        <w:t xml:space="preserve">LHP contributed how our stage 2 complaints are assigned, </w:t>
      </w:r>
      <w:r w:rsidR="006D74E2">
        <w:rPr>
          <w:rFonts w:cs="Arial"/>
        </w:rPr>
        <w:t>how we share learning with customers and the work our complaints panel undertakes.</w:t>
      </w:r>
    </w:p>
    <w:p w14:paraId="3567D0AC" w14:textId="5ADB8519" w:rsidR="00445515" w:rsidRDefault="004F00C8" w:rsidP="00F153FD">
      <w:pPr>
        <w:pStyle w:val="ListParagraph"/>
        <w:numPr>
          <w:ilvl w:val="0"/>
          <w:numId w:val="39"/>
        </w:numPr>
        <w:spacing w:after="120" w:line="276" w:lineRule="auto"/>
        <w:ind w:left="567" w:hanging="567"/>
        <w:jc w:val="both"/>
        <w:rPr>
          <w:rFonts w:cs="Arial"/>
        </w:rPr>
      </w:pPr>
      <w:r>
        <w:rPr>
          <w:rFonts w:cs="Arial"/>
        </w:rPr>
        <w:t xml:space="preserve">The panel meeting in Q3 focussed on the work taking place to address complaints </w:t>
      </w:r>
      <w:r w:rsidR="00FB646E">
        <w:rPr>
          <w:rFonts w:cs="Arial"/>
        </w:rPr>
        <w:t xml:space="preserve">backlogs </w:t>
      </w:r>
      <w:r w:rsidR="004C46E7">
        <w:rPr>
          <w:rFonts w:cs="Arial"/>
        </w:rPr>
        <w:t xml:space="preserve">regarding repairs. </w:t>
      </w:r>
      <w:r w:rsidR="00EA2D56">
        <w:rPr>
          <w:rFonts w:cs="Arial"/>
        </w:rPr>
        <w:t xml:space="preserve">The panel also offered assurance to customers around how complaint responses are communicated and how LHP will always </w:t>
      </w:r>
      <w:r w:rsidR="00DD42ED">
        <w:rPr>
          <w:rFonts w:cs="Arial"/>
        </w:rPr>
        <w:t>consider customer communication preferences such as large print, translation to other languages and adjustments where interpreters or recordings of outcomes are provided for deaf and blind customers.</w:t>
      </w:r>
    </w:p>
    <w:p w14:paraId="7F4DA8AC" w14:textId="05BDBF04" w:rsidR="00DD42ED" w:rsidRDefault="008B6B19" w:rsidP="00F153FD">
      <w:pPr>
        <w:pStyle w:val="ListParagraph"/>
        <w:numPr>
          <w:ilvl w:val="0"/>
          <w:numId w:val="39"/>
        </w:numPr>
        <w:spacing w:after="120" w:line="276" w:lineRule="auto"/>
        <w:ind w:left="567" w:hanging="567"/>
        <w:jc w:val="both"/>
        <w:rPr>
          <w:rFonts w:cs="Arial"/>
        </w:rPr>
      </w:pPr>
      <w:r>
        <w:rPr>
          <w:rFonts w:cs="Arial"/>
        </w:rPr>
        <w:lastRenderedPageBreak/>
        <w:t>The panel were also updated on the work upcoming on how LHP will use customer insight and feedback to make improvement to services</w:t>
      </w:r>
      <w:r w:rsidR="00C22741">
        <w:rPr>
          <w:rFonts w:cs="Arial"/>
        </w:rPr>
        <w:t xml:space="preserve">, with the Executive Director of Governance and </w:t>
      </w:r>
      <w:r w:rsidR="00B2791E">
        <w:rPr>
          <w:rFonts w:cs="Arial"/>
        </w:rPr>
        <w:t>Regulation</w:t>
      </w:r>
      <w:r w:rsidR="00C22741">
        <w:rPr>
          <w:rFonts w:cs="Arial"/>
        </w:rPr>
        <w:t xml:space="preserve"> attending the meeting to explain </w:t>
      </w:r>
      <w:r w:rsidR="004444E3">
        <w:rPr>
          <w:rFonts w:cs="Arial"/>
        </w:rPr>
        <w:t xml:space="preserve">LHP’s journey to achieve a C1 for consumer standards. </w:t>
      </w:r>
    </w:p>
    <w:p w14:paraId="2E6AD947" w14:textId="52AD7526" w:rsidR="00B1685E" w:rsidRDefault="00B1685E" w:rsidP="00F153FD">
      <w:pPr>
        <w:pStyle w:val="ListParagraph"/>
        <w:numPr>
          <w:ilvl w:val="0"/>
          <w:numId w:val="39"/>
        </w:numPr>
        <w:spacing w:after="120" w:line="276" w:lineRule="auto"/>
        <w:ind w:left="567" w:hanging="567"/>
        <w:jc w:val="both"/>
        <w:rPr>
          <w:rFonts w:cs="Arial"/>
        </w:rPr>
      </w:pPr>
      <w:r>
        <w:rPr>
          <w:rFonts w:cs="Arial"/>
        </w:rPr>
        <w:t xml:space="preserve">Panel </w:t>
      </w:r>
      <w:r w:rsidR="00F42840">
        <w:rPr>
          <w:rFonts w:cs="Arial"/>
        </w:rPr>
        <w:t>presentations have been shared with the member for complaints throughout the year in supplement to the usual quarterly performance reporting to ensure that the Board has an overview of complaints performance and actions.</w:t>
      </w:r>
    </w:p>
    <w:p w14:paraId="62360097" w14:textId="3B91849D" w:rsidR="003037C6" w:rsidRDefault="003037C6" w:rsidP="00F153FD">
      <w:pPr>
        <w:pStyle w:val="ListParagraph"/>
        <w:numPr>
          <w:ilvl w:val="0"/>
          <w:numId w:val="39"/>
        </w:numPr>
        <w:spacing w:after="120" w:line="276" w:lineRule="auto"/>
        <w:ind w:left="567" w:hanging="567"/>
        <w:jc w:val="both"/>
        <w:rPr>
          <w:rFonts w:cs="Arial"/>
        </w:rPr>
      </w:pPr>
      <w:r>
        <w:rPr>
          <w:rFonts w:cs="Arial"/>
        </w:rPr>
        <w:t xml:space="preserve">Going forward for the next year the customer experience manager will be attending the quarterly leadership </w:t>
      </w:r>
      <w:r w:rsidR="00C15665">
        <w:rPr>
          <w:rFonts w:cs="Arial"/>
        </w:rPr>
        <w:t xml:space="preserve">meeting to provide oversight and assurance on complaint handling compliance and customer feedback and insight. Actions from monthly business partner meetings for complaints will also be </w:t>
      </w:r>
      <w:r w:rsidR="004D0BEA">
        <w:rPr>
          <w:rFonts w:cs="Arial"/>
        </w:rPr>
        <w:t xml:space="preserve">shared. </w:t>
      </w:r>
    </w:p>
    <w:p w14:paraId="0EB89746" w14:textId="77777777" w:rsidR="004D0BEA" w:rsidRDefault="004D0BEA" w:rsidP="004D0BEA">
      <w:pPr>
        <w:pStyle w:val="ListParagraph"/>
        <w:spacing w:after="120" w:line="276" w:lineRule="auto"/>
        <w:ind w:left="567"/>
        <w:jc w:val="both"/>
        <w:rPr>
          <w:rFonts w:cs="Arial"/>
        </w:rPr>
      </w:pPr>
    </w:p>
    <w:p w14:paraId="237F6941" w14:textId="38921997" w:rsidR="009507E8" w:rsidRDefault="009507E8" w:rsidP="004D0BEA">
      <w:pPr>
        <w:pBdr>
          <w:bottom w:val="single" w:sz="6" w:space="1" w:color="auto"/>
        </w:pBdr>
        <w:rPr>
          <w:rFonts w:cs="Arial"/>
          <w:b/>
          <w:bCs/>
        </w:rPr>
      </w:pPr>
      <w:r w:rsidRPr="00AF42F3">
        <w:rPr>
          <w:rFonts w:cs="Arial"/>
          <w:b/>
          <w:bCs/>
        </w:rPr>
        <w:t>Trends and Themes</w:t>
      </w:r>
    </w:p>
    <w:p w14:paraId="248CDC9C" w14:textId="77777777" w:rsidR="004D0BEA" w:rsidRPr="00AF42F3" w:rsidRDefault="004D0BEA" w:rsidP="004D0BEA">
      <w:pPr>
        <w:rPr>
          <w:rFonts w:cs="Arial"/>
          <w:b/>
          <w:bCs/>
        </w:rPr>
      </w:pPr>
    </w:p>
    <w:p w14:paraId="518AC519" w14:textId="3D92B9E2" w:rsidR="00C34CBE" w:rsidRPr="004F0161" w:rsidRDefault="00C34CBE" w:rsidP="00AF1A9B">
      <w:pPr>
        <w:pStyle w:val="ListParagraph"/>
        <w:numPr>
          <w:ilvl w:val="0"/>
          <w:numId w:val="39"/>
        </w:numPr>
        <w:spacing w:after="120" w:line="276" w:lineRule="auto"/>
        <w:ind w:left="567" w:hanging="567"/>
        <w:jc w:val="both"/>
        <w:rPr>
          <w:rFonts w:cs="Arial"/>
        </w:rPr>
      </w:pPr>
      <w:r w:rsidRPr="004F0161">
        <w:rPr>
          <w:rFonts w:cs="Arial"/>
        </w:rPr>
        <w:t xml:space="preserve">When complaints are received and logged through QL, they are </w:t>
      </w:r>
      <w:r w:rsidR="003F1A9C">
        <w:rPr>
          <w:rFonts w:cs="Arial"/>
        </w:rPr>
        <w:t>classified by type</w:t>
      </w:r>
      <w:r w:rsidRPr="004F0161">
        <w:rPr>
          <w:rFonts w:cs="Arial"/>
        </w:rPr>
        <w:t xml:space="preserve"> to ensure that trends and themes can be analysed at each reporting stage.</w:t>
      </w:r>
    </w:p>
    <w:p w14:paraId="787615AF" w14:textId="488539A6" w:rsidR="00C34CBE" w:rsidRPr="004F0161" w:rsidRDefault="00C34CBE" w:rsidP="00AF1A9B">
      <w:pPr>
        <w:pStyle w:val="ListParagraph"/>
        <w:numPr>
          <w:ilvl w:val="0"/>
          <w:numId w:val="39"/>
        </w:numPr>
        <w:spacing w:after="120" w:line="276" w:lineRule="auto"/>
        <w:ind w:left="567" w:hanging="567"/>
        <w:jc w:val="both"/>
        <w:rPr>
          <w:rFonts w:cs="Arial"/>
        </w:rPr>
      </w:pPr>
      <w:r w:rsidRPr="004F0161">
        <w:rPr>
          <w:rFonts w:cs="Arial"/>
        </w:rPr>
        <w:t>Trends and themes are reported to CLT and ELT as well as being utilised in th</w:t>
      </w:r>
      <w:r w:rsidR="00745F06">
        <w:rPr>
          <w:rFonts w:cs="Arial"/>
        </w:rPr>
        <w:t xml:space="preserve">e complaint review meetings with the complaints panel and </w:t>
      </w:r>
      <w:r w:rsidR="00325630">
        <w:rPr>
          <w:rFonts w:cs="Arial"/>
        </w:rPr>
        <w:t>member for complaints</w:t>
      </w:r>
      <w:r w:rsidRPr="004F0161">
        <w:rPr>
          <w:rFonts w:cs="Arial"/>
        </w:rPr>
        <w:t xml:space="preserve"> to highlight any areas for improvement. </w:t>
      </w:r>
    </w:p>
    <w:p w14:paraId="454E2775" w14:textId="6FD750D2" w:rsidR="00E348E1" w:rsidRPr="004F0161" w:rsidRDefault="00E348E1" w:rsidP="00AF1A9B">
      <w:pPr>
        <w:pStyle w:val="ListParagraph"/>
        <w:numPr>
          <w:ilvl w:val="0"/>
          <w:numId w:val="39"/>
        </w:numPr>
        <w:spacing w:after="120" w:line="276" w:lineRule="auto"/>
        <w:ind w:left="567" w:hanging="567"/>
        <w:jc w:val="both"/>
        <w:rPr>
          <w:rFonts w:cs="Arial"/>
        </w:rPr>
      </w:pPr>
      <w:r w:rsidRPr="004F0161">
        <w:rPr>
          <w:rFonts w:cs="Arial"/>
        </w:rPr>
        <w:t xml:space="preserve">They </w:t>
      </w:r>
      <w:r w:rsidR="00325630">
        <w:rPr>
          <w:rFonts w:cs="Arial"/>
        </w:rPr>
        <w:t>are used to report</w:t>
      </w:r>
      <w:r w:rsidRPr="004F0161">
        <w:rPr>
          <w:rFonts w:cs="Arial"/>
        </w:rPr>
        <w:t xml:space="preserve"> learning to customers in </w:t>
      </w:r>
      <w:r w:rsidR="00111C5E" w:rsidRPr="004F0161">
        <w:rPr>
          <w:rFonts w:cs="Arial"/>
        </w:rPr>
        <w:t xml:space="preserve">the </w:t>
      </w:r>
      <w:r w:rsidRPr="004F0161">
        <w:rPr>
          <w:rFonts w:cs="Arial"/>
        </w:rPr>
        <w:t>magazine</w:t>
      </w:r>
      <w:r w:rsidR="00325630">
        <w:rPr>
          <w:rFonts w:cs="Arial"/>
        </w:rPr>
        <w:t xml:space="preserve"> and website, as well as in our annual reporting.</w:t>
      </w:r>
    </w:p>
    <w:p w14:paraId="0BC1FC69" w14:textId="2B3F8B0B" w:rsidR="00111C5E" w:rsidRPr="004F0161" w:rsidRDefault="0033066D" w:rsidP="00AF1A9B">
      <w:pPr>
        <w:pStyle w:val="ListParagraph"/>
        <w:numPr>
          <w:ilvl w:val="0"/>
          <w:numId w:val="39"/>
        </w:numPr>
        <w:spacing w:after="120" w:line="276" w:lineRule="auto"/>
        <w:ind w:left="567" w:hanging="567"/>
        <w:jc w:val="both"/>
        <w:rPr>
          <w:rFonts w:cs="Arial"/>
        </w:rPr>
      </w:pPr>
      <w:r w:rsidRPr="004F0161">
        <w:rPr>
          <w:rFonts w:cs="Arial"/>
        </w:rPr>
        <w:t>The top three themes from the past year are:</w:t>
      </w:r>
    </w:p>
    <w:p w14:paraId="253506FC" w14:textId="42B60659" w:rsidR="0033066D" w:rsidRPr="004F0161" w:rsidRDefault="009605B7" w:rsidP="00EE7E56">
      <w:pPr>
        <w:pStyle w:val="ListParagraph"/>
        <w:numPr>
          <w:ilvl w:val="0"/>
          <w:numId w:val="32"/>
        </w:numPr>
        <w:tabs>
          <w:tab w:val="left" w:pos="1134"/>
        </w:tabs>
        <w:spacing w:after="120" w:line="276" w:lineRule="auto"/>
        <w:ind w:left="1134" w:hanging="567"/>
        <w:jc w:val="both"/>
        <w:rPr>
          <w:rFonts w:cs="Arial"/>
        </w:rPr>
      </w:pPr>
      <w:r>
        <w:rPr>
          <w:rFonts w:cs="Arial"/>
          <w:b/>
          <w:bCs/>
        </w:rPr>
        <w:t>38</w:t>
      </w:r>
      <w:r w:rsidR="0033066D" w:rsidRPr="004F0161">
        <w:rPr>
          <w:rFonts w:cs="Arial"/>
          <w:b/>
          <w:bCs/>
        </w:rPr>
        <w:t>% Quality of service</w:t>
      </w:r>
      <w:r w:rsidR="0033066D" w:rsidRPr="004F0161">
        <w:rPr>
          <w:rFonts w:cs="Arial"/>
        </w:rPr>
        <w:t xml:space="preserve"> – this is where there may be multiple issues such as lack of communication, progress, issues/repairs not resolved at first attempt etc.</w:t>
      </w:r>
    </w:p>
    <w:p w14:paraId="3B640DEB" w14:textId="49501D72" w:rsidR="0033066D" w:rsidRPr="004F0161" w:rsidRDefault="009605B7" w:rsidP="00EE7E56">
      <w:pPr>
        <w:pStyle w:val="ListParagraph"/>
        <w:numPr>
          <w:ilvl w:val="0"/>
          <w:numId w:val="32"/>
        </w:numPr>
        <w:tabs>
          <w:tab w:val="left" w:pos="1134"/>
        </w:tabs>
        <w:spacing w:after="120" w:line="276" w:lineRule="auto"/>
        <w:ind w:left="1134" w:hanging="567"/>
        <w:jc w:val="both"/>
        <w:rPr>
          <w:rFonts w:cs="Arial"/>
        </w:rPr>
      </w:pPr>
      <w:r>
        <w:rPr>
          <w:rFonts w:cs="Arial"/>
          <w:b/>
          <w:bCs/>
        </w:rPr>
        <w:t>18</w:t>
      </w:r>
      <w:r w:rsidR="0033066D" w:rsidRPr="004F0161">
        <w:rPr>
          <w:rFonts w:cs="Arial"/>
          <w:b/>
          <w:bCs/>
        </w:rPr>
        <w:t>% Lack of progress</w:t>
      </w:r>
      <w:r w:rsidR="0033066D" w:rsidRPr="004F0161">
        <w:rPr>
          <w:rFonts w:cs="Arial"/>
        </w:rPr>
        <w:t xml:space="preserve"> – where works/issues have been reported but nothing has happened to resolve.</w:t>
      </w:r>
    </w:p>
    <w:p w14:paraId="3E9B190E" w14:textId="57F05E65" w:rsidR="0033066D" w:rsidRPr="00AF42F3" w:rsidRDefault="009605B7" w:rsidP="00EE7E56">
      <w:pPr>
        <w:pStyle w:val="ListParagraph"/>
        <w:numPr>
          <w:ilvl w:val="0"/>
          <w:numId w:val="32"/>
        </w:numPr>
        <w:tabs>
          <w:tab w:val="left" w:pos="1134"/>
        </w:tabs>
        <w:spacing w:after="120" w:line="276" w:lineRule="auto"/>
        <w:ind w:left="1134" w:hanging="567"/>
        <w:jc w:val="both"/>
        <w:rPr>
          <w:rFonts w:cs="Arial"/>
        </w:rPr>
      </w:pPr>
      <w:r>
        <w:rPr>
          <w:rFonts w:cs="Arial"/>
          <w:b/>
          <w:bCs/>
        </w:rPr>
        <w:t>13</w:t>
      </w:r>
      <w:r w:rsidR="0033066D" w:rsidRPr="004F0161">
        <w:rPr>
          <w:rFonts w:cs="Arial"/>
          <w:b/>
          <w:bCs/>
        </w:rPr>
        <w:t xml:space="preserve">% </w:t>
      </w:r>
      <w:r>
        <w:rPr>
          <w:rFonts w:cs="Arial"/>
          <w:b/>
          <w:bCs/>
        </w:rPr>
        <w:t>Work not completed</w:t>
      </w:r>
      <w:r w:rsidR="0033066D" w:rsidRPr="004F0161">
        <w:rPr>
          <w:rFonts w:cs="Arial"/>
        </w:rPr>
        <w:t xml:space="preserve"> – although a lower percentage than above, customers routinely cite this as a part of their complaint </w:t>
      </w:r>
      <w:r>
        <w:rPr>
          <w:rFonts w:cs="Arial"/>
        </w:rPr>
        <w:t>when chasing initial or follow on repairs</w:t>
      </w:r>
    </w:p>
    <w:p w14:paraId="3DBC7BA0" w14:textId="67B75CC3" w:rsidR="00DD1121" w:rsidRPr="004F0161" w:rsidRDefault="00DD1121" w:rsidP="00AF1A9B">
      <w:pPr>
        <w:pStyle w:val="ListParagraph"/>
        <w:numPr>
          <w:ilvl w:val="0"/>
          <w:numId w:val="39"/>
        </w:numPr>
        <w:spacing w:after="120" w:line="276" w:lineRule="auto"/>
        <w:ind w:left="567" w:hanging="567"/>
        <w:jc w:val="both"/>
        <w:rPr>
          <w:rFonts w:cs="Arial"/>
        </w:rPr>
      </w:pPr>
      <w:r w:rsidRPr="004F0161">
        <w:rPr>
          <w:rFonts w:cs="Arial"/>
        </w:rPr>
        <w:t xml:space="preserve">One of the main issues of complaint is where customers </w:t>
      </w:r>
      <w:r w:rsidR="001032A0">
        <w:rPr>
          <w:rFonts w:cs="Arial"/>
        </w:rPr>
        <w:t xml:space="preserve">are waiting longer than usual for repairs to take place due to </w:t>
      </w:r>
      <w:r w:rsidR="00FD5A39">
        <w:rPr>
          <w:rFonts w:cs="Arial"/>
        </w:rPr>
        <w:t xml:space="preserve">repairs resources. In recent months a funding package has been approved </w:t>
      </w:r>
      <w:r w:rsidR="00142E69">
        <w:rPr>
          <w:rFonts w:cs="Arial"/>
        </w:rPr>
        <w:t xml:space="preserve">by the board and </w:t>
      </w:r>
      <w:r w:rsidR="00914733">
        <w:rPr>
          <w:rFonts w:cs="Arial"/>
        </w:rPr>
        <w:t>18 new engineers will join the repairs team</w:t>
      </w:r>
      <w:r w:rsidR="00F71A99">
        <w:rPr>
          <w:rFonts w:cs="Arial"/>
        </w:rPr>
        <w:t xml:space="preserve">, to be deployed into the affected areas. </w:t>
      </w:r>
    </w:p>
    <w:p w14:paraId="29925682" w14:textId="41BDEF6A" w:rsidR="00B30612" w:rsidRDefault="00436EC5" w:rsidP="00AF1A9B">
      <w:pPr>
        <w:pBdr>
          <w:bottom w:val="single" w:sz="6" w:space="1" w:color="auto"/>
        </w:pBdr>
        <w:tabs>
          <w:tab w:val="left" w:pos="567"/>
        </w:tabs>
        <w:spacing w:after="120" w:line="276" w:lineRule="auto"/>
        <w:ind w:left="567" w:hanging="567"/>
        <w:jc w:val="both"/>
        <w:rPr>
          <w:rFonts w:cs="Arial"/>
          <w:b/>
          <w:bCs/>
        </w:rPr>
      </w:pPr>
      <w:r w:rsidRPr="00AF42F3">
        <w:rPr>
          <w:rFonts w:cs="Arial"/>
          <w:b/>
          <w:bCs/>
        </w:rPr>
        <w:t xml:space="preserve">Learning </w:t>
      </w:r>
    </w:p>
    <w:p w14:paraId="44091CDD" w14:textId="08582714" w:rsidR="00436EC5" w:rsidRPr="004F0161" w:rsidRDefault="007E04E3" w:rsidP="00AF1A9B">
      <w:pPr>
        <w:pStyle w:val="ListParagraph"/>
        <w:numPr>
          <w:ilvl w:val="0"/>
          <w:numId w:val="39"/>
        </w:numPr>
        <w:spacing w:after="120" w:line="276" w:lineRule="auto"/>
        <w:ind w:left="567" w:hanging="567"/>
        <w:jc w:val="both"/>
        <w:rPr>
          <w:rFonts w:cs="Arial"/>
        </w:rPr>
      </w:pPr>
      <w:r w:rsidRPr="004F0161">
        <w:rPr>
          <w:rFonts w:cs="Arial"/>
        </w:rPr>
        <w:t>All learning outcomes are added to Pentana, our performance software and tracked until they are delivered</w:t>
      </w:r>
      <w:r w:rsidR="00FE27B8" w:rsidRPr="004F0161">
        <w:rPr>
          <w:rFonts w:cs="Arial"/>
        </w:rPr>
        <w:t xml:space="preserve"> in the same way as Internal Audit Actions are monitored. </w:t>
      </w:r>
    </w:p>
    <w:p w14:paraId="133587D0" w14:textId="4A46AB6A" w:rsidR="00055C04" w:rsidRPr="004F0161" w:rsidRDefault="002B22D1" w:rsidP="00AF1A9B">
      <w:pPr>
        <w:pStyle w:val="ListParagraph"/>
        <w:numPr>
          <w:ilvl w:val="0"/>
          <w:numId w:val="39"/>
        </w:numPr>
        <w:spacing w:after="120" w:line="276" w:lineRule="auto"/>
        <w:ind w:left="567" w:hanging="567"/>
        <w:jc w:val="both"/>
        <w:rPr>
          <w:rFonts w:cs="Arial"/>
        </w:rPr>
      </w:pPr>
      <w:r>
        <w:rPr>
          <w:rFonts w:cs="Arial"/>
        </w:rPr>
        <w:lastRenderedPageBreak/>
        <w:t xml:space="preserve">Following </w:t>
      </w:r>
      <w:r w:rsidR="00BE6145">
        <w:rPr>
          <w:rFonts w:cs="Arial"/>
        </w:rPr>
        <w:t xml:space="preserve">complaint feedback regarding the tone of our gas safety reminder letters, a review was undertaken, seeking advice from </w:t>
      </w:r>
      <w:r w:rsidR="003059A5">
        <w:rPr>
          <w:rFonts w:cs="Arial"/>
        </w:rPr>
        <w:t>legal resources to ensure accuracy of statutory requirements</w:t>
      </w:r>
      <w:r w:rsidR="00093CC4">
        <w:rPr>
          <w:rFonts w:cs="Arial"/>
        </w:rPr>
        <w:t xml:space="preserve">. </w:t>
      </w:r>
      <w:r w:rsidR="0041015E">
        <w:rPr>
          <w:rFonts w:cs="Arial"/>
        </w:rPr>
        <w:t xml:space="preserve">Finally, </w:t>
      </w:r>
      <w:r w:rsidR="00093CC4">
        <w:rPr>
          <w:rFonts w:cs="Arial"/>
        </w:rPr>
        <w:t>letters were</w:t>
      </w:r>
      <w:r w:rsidR="00AF2174">
        <w:rPr>
          <w:rFonts w:cs="Arial"/>
        </w:rPr>
        <w:t xml:space="preserve"> reviewed for their detail and tone by our customer scrutiny panel, who </w:t>
      </w:r>
      <w:r w:rsidR="00736047">
        <w:rPr>
          <w:rFonts w:cs="Arial"/>
        </w:rPr>
        <w:t>agreed a final version that required a harder tone due to the serious nature of landlord gas safety compliance.</w:t>
      </w:r>
    </w:p>
    <w:p w14:paraId="1E7D2B18" w14:textId="03916DD8" w:rsidR="008859F2" w:rsidRDefault="00092C40" w:rsidP="00AF1A9B">
      <w:pPr>
        <w:pStyle w:val="ListParagraph"/>
        <w:numPr>
          <w:ilvl w:val="0"/>
          <w:numId w:val="39"/>
        </w:numPr>
        <w:spacing w:after="120" w:line="276" w:lineRule="auto"/>
        <w:ind w:left="567" w:hanging="567"/>
        <w:jc w:val="both"/>
        <w:rPr>
          <w:rFonts w:cs="Arial"/>
        </w:rPr>
      </w:pPr>
      <w:r>
        <w:rPr>
          <w:rFonts w:cs="Arial"/>
        </w:rPr>
        <w:t>Complaints from prospective customers on the housing register</w:t>
      </w:r>
      <w:r w:rsidR="004F32F4">
        <w:rPr>
          <w:rFonts w:cs="Arial"/>
        </w:rPr>
        <w:t xml:space="preserve"> </w:t>
      </w:r>
      <w:r w:rsidR="006B5D59">
        <w:rPr>
          <w:rFonts w:cs="Arial"/>
        </w:rPr>
        <w:t xml:space="preserve">who required </w:t>
      </w:r>
      <w:r w:rsidR="006B0F4F">
        <w:rPr>
          <w:rFonts w:cs="Arial"/>
        </w:rPr>
        <w:t>adapted</w:t>
      </w:r>
      <w:r w:rsidR="006B5D59">
        <w:rPr>
          <w:rFonts w:cs="Arial"/>
        </w:rPr>
        <w:t xml:space="preserve"> homes </w:t>
      </w:r>
      <w:r w:rsidR="004F32F4">
        <w:rPr>
          <w:rFonts w:cs="Arial"/>
        </w:rPr>
        <w:t xml:space="preserve">let us know </w:t>
      </w:r>
      <w:r w:rsidR="006B5D59">
        <w:rPr>
          <w:rFonts w:cs="Arial"/>
        </w:rPr>
        <w:t xml:space="preserve">they were struggling to </w:t>
      </w:r>
      <w:r w:rsidR="006B0F4F">
        <w:rPr>
          <w:rFonts w:cs="Arial"/>
        </w:rPr>
        <w:t>match with suitable properties. Our allocations team ha</w:t>
      </w:r>
      <w:r w:rsidR="001A3F7D">
        <w:rPr>
          <w:rFonts w:cs="Arial"/>
        </w:rPr>
        <w:t>s</w:t>
      </w:r>
      <w:r w:rsidR="006B0F4F">
        <w:rPr>
          <w:rFonts w:cs="Arial"/>
        </w:rPr>
        <w:t xml:space="preserve"> been working </w:t>
      </w:r>
      <w:r w:rsidR="00104405">
        <w:rPr>
          <w:rFonts w:cs="Arial"/>
        </w:rPr>
        <w:t xml:space="preserve">with </w:t>
      </w:r>
      <w:r w:rsidR="001A3F7D">
        <w:rPr>
          <w:rFonts w:cs="Arial"/>
        </w:rPr>
        <w:t xml:space="preserve">our partners at Occupational Therapy to review </w:t>
      </w:r>
      <w:r w:rsidR="00840089">
        <w:rPr>
          <w:rFonts w:cs="Arial"/>
        </w:rPr>
        <w:t>prospective</w:t>
      </w:r>
      <w:r w:rsidR="001A3F7D">
        <w:rPr>
          <w:rFonts w:cs="Arial"/>
        </w:rPr>
        <w:t xml:space="preserve"> homes whilst empty to pre-approve </w:t>
      </w:r>
      <w:r w:rsidR="00840089">
        <w:rPr>
          <w:rFonts w:cs="Arial"/>
        </w:rPr>
        <w:t>adaptations</w:t>
      </w:r>
      <w:r w:rsidR="001A3F7D">
        <w:rPr>
          <w:rFonts w:cs="Arial"/>
        </w:rPr>
        <w:t>, if possible, to reduce the change of disabled customers being skipped in the q</w:t>
      </w:r>
      <w:r w:rsidR="00840089">
        <w:rPr>
          <w:rFonts w:cs="Arial"/>
        </w:rPr>
        <w:t xml:space="preserve">ueue when bidding. </w:t>
      </w:r>
    </w:p>
    <w:p w14:paraId="4CE1F136" w14:textId="77777777" w:rsidR="00CE1FFA" w:rsidRDefault="00CE1FFA" w:rsidP="00F24B66">
      <w:pPr>
        <w:rPr>
          <w:rFonts w:cs="Arial"/>
          <w:b/>
          <w:bCs/>
        </w:rPr>
      </w:pPr>
    </w:p>
    <w:p w14:paraId="608F9E94" w14:textId="683C3E04" w:rsidR="00CE1FFA" w:rsidRDefault="00CE1FFA" w:rsidP="00CE1FFA">
      <w:pPr>
        <w:pBdr>
          <w:bottom w:val="single" w:sz="6" w:space="1" w:color="auto"/>
        </w:pBdr>
        <w:tabs>
          <w:tab w:val="left" w:pos="567"/>
        </w:tabs>
        <w:spacing w:after="120" w:line="276" w:lineRule="auto"/>
        <w:ind w:left="567" w:hanging="567"/>
        <w:jc w:val="both"/>
        <w:rPr>
          <w:rFonts w:cs="Arial"/>
          <w:b/>
          <w:bCs/>
        </w:rPr>
      </w:pPr>
      <w:r>
        <w:rPr>
          <w:rFonts w:cs="Arial"/>
          <w:b/>
          <w:bCs/>
        </w:rPr>
        <w:t>Performance</w:t>
      </w:r>
    </w:p>
    <w:p w14:paraId="06AE18E1" w14:textId="77777777" w:rsidR="00CE1FFA" w:rsidRPr="00AF42F3" w:rsidRDefault="00CE1FFA" w:rsidP="00F24B66">
      <w:pPr>
        <w:rPr>
          <w:rFonts w:cs="Arial"/>
          <w:b/>
          <w:bCs/>
        </w:rPr>
      </w:pPr>
    </w:p>
    <w:tbl>
      <w:tblPr>
        <w:tblStyle w:val="TableGrid"/>
        <w:tblpPr w:leftFromText="180" w:rightFromText="180" w:vertAnchor="text" w:horzAnchor="margin" w:tblpXSpec="center" w:tblpY="35"/>
        <w:tblW w:w="8359" w:type="dxa"/>
        <w:tblLook w:val="04A0" w:firstRow="1" w:lastRow="0" w:firstColumn="1" w:lastColumn="0" w:noHBand="0" w:noVBand="1"/>
      </w:tblPr>
      <w:tblGrid>
        <w:gridCol w:w="2857"/>
        <w:gridCol w:w="1417"/>
        <w:gridCol w:w="1224"/>
        <w:gridCol w:w="1417"/>
        <w:gridCol w:w="1444"/>
      </w:tblGrid>
      <w:tr w:rsidR="00133761" w:rsidRPr="004F0161" w14:paraId="69624147" w14:textId="77777777" w:rsidTr="00133761">
        <w:trPr>
          <w:trHeight w:val="340"/>
        </w:trPr>
        <w:tc>
          <w:tcPr>
            <w:tcW w:w="3539" w:type="dxa"/>
            <w:tcBorders>
              <w:top w:val="nil"/>
              <w:left w:val="nil"/>
            </w:tcBorders>
          </w:tcPr>
          <w:p w14:paraId="08521193" w14:textId="77777777" w:rsidR="00133761" w:rsidRPr="004F0161" w:rsidRDefault="00133761" w:rsidP="00133761">
            <w:pPr>
              <w:spacing w:line="276" w:lineRule="auto"/>
              <w:rPr>
                <w:rFonts w:cs="Arial"/>
              </w:rPr>
            </w:pPr>
          </w:p>
        </w:tc>
        <w:tc>
          <w:tcPr>
            <w:tcW w:w="969" w:type="dxa"/>
            <w:shd w:val="clear" w:color="auto" w:fill="ACB9CA" w:themeFill="text2" w:themeFillTint="66"/>
          </w:tcPr>
          <w:p w14:paraId="4F78EA33" w14:textId="77777777" w:rsidR="00133761" w:rsidRPr="004F0161" w:rsidRDefault="00133761" w:rsidP="00133761">
            <w:pPr>
              <w:spacing w:line="276" w:lineRule="auto"/>
              <w:rPr>
                <w:rFonts w:cs="Arial"/>
                <w:b/>
                <w:bCs/>
              </w:rPr>
            </w:pPr>
            <w:r w:rsidRPr="004F0161">
              <w:rPr>
                <w:rFonts w:cs="Arial"/>
                <w:b/>
                <w:bCs/>
              </w:rPr>
              <w:t>Target</w:t>
            </w:r>
          </w:p>
        </w:tc>
        <w:tc>
          <w:tcPr>
            <w:tcW w:w="1299" w:type="dxa"/>
            <w:shd w:val="clear" w:color="auto" w:fill="ACB9CA" w:themeFill="text2" w:themeFillTint="66"/>
          </w:tcPr>
          <w:p w14:paraId="6CBD9066" w14:textId="156F405A" w:rsidR="00133761" w:rsidRPr="004F0161" w:rsidRDefault="00133761" w:rsidP="00133761">
            <w:pPr>
              <w:spacing w:line="276" w:lineRule="auto"/>
              <w:rPr>
                <w:rFonts w:cs="Arial"/>
                <w:b/>
                <w:bCs/>
              </w:rPr>
            </w:pPr>
            <w:r w:rsidRPr="004F0161">
              <w:rPr>
                <w:rFonts w:cs="Arial"/>
                <w:b/>
                <w:bCs/>
              </w:rPr>
              <w:t>202</w:t>
            </w:r>
            <w:r w:rsidR="000968CE">
              <w:rPr>
                <w:rFonts w:cs="Arial"/>
                <w:b/>
                <w:bCs/>
              </w:rPr>
              <w:t>3</w:t>
            </w:r>
            <w:r>
              <w:rPr>
                <w:rFonts w:cs="Arial"/>
                <w:b/>
                <w:bCs/>
              </w:rPr>
              <w:t>/2</w:t>
            </w:r>
            <w:r w:rsidR="000968CE">
              <w:rPr>
                <w:rFonts w:cs="Arial"/>
                <w:b/>
                <w:bCs/>
              </w:rPr>
              <w:t>4</w:t>
            </w:r>
          </w:p>
        </w:tc>
        <w:tc>
          <w:tcPr>
            <w:tcW w:w="1276" w:type="dxa"/>
            <w:shd w:val="clear" w:color="auto" w:fill="ACB9CA" w:themeFill="text2" w:themeFillTint="66"/>
          </w:tcPr>
          <w:p w14:paraId="36E40388" w14:textId="38E946A7" w:rsidR="00133761" w:rsidRPr="004F0161" w:rsidRDefault="00133761" w:rsidP="00133761">
            <w:pPr>
              <w:spacing w:line="276" w:lineRule="auto"/>
              <w:rPr>
                <w:rFonts w:cs="Arial"/>
                <w:b/>
                <w:bCs/>
              </w:rPr>
            </w:pPr>
            <w:r w:rsidRPr="004F0161">
              <w:rPr>
                <w:rFonts w:cs="Arial"/>
                <w:b/>
                <w:bCs/>
              </w:rPr>
              <w:t>Target</w:t>
            </w:r>
          </w:p>
        </w:tc>
        <w:tc>
          <w:tcPr>
            <w:tcW w:w="1276" w:type="dxa"/>
            <w:shd w:val="clear" w:color="auto" w:fill="ACB9CA" w:themeFill="text2" w:themeFillTint="66"/>
          </w:tcPr>
          <w:p w14:paraId="3F598C25" w14:textId="1DC257ED" w:rsidR="00133761" w:rsidRPr="004F0161" w:rsidRDefault="00133761" w:rsidP="00133761">
            <w:pPr>
              <w:spacing w:line="276" w:lineRule="auto"/>
              <w:rPr>
                <w:rFonts w:cs="Arial"/>
                <w:b/>
                <w:bCs/>
              </w:rPr>
            </w:pPr>
            <w:r w:rsidRPr="004F0161">
              <w:rPr>
                <w:rFonts w:cs="Arial"/>
                <w:b/>
                <w:bCs/>
              </w:rPr>
              <w:t>202</w:t>
            </w:r>
            <w:r w:rsidR="000968CE">
              <w:rPr>
                <w:rFonts w:cs="Arial"/>
                <w:b/>
                <w:bCs/>
              </w:rPr>
              <w:t>4</w:t>
            </w:r>
            <w:r>
              <w:rPr>
                <w:rFonts w:cs="Arial"/>
                <w:b/>
                <w:bCs/>
              </w:rPr>
              <w:t>/2</w:t>
            </w:r>
            <w:r w:rsidR="000968CE">
              <w:rPr>
                <w:rFonts w:cs="Arial"/>
                <w:b/>
                <w:bCs/>
              </w:rPr>
              <w:t>5</w:t>
            </w:r>
          </w:p>
        </w:tc>
      </w:tr>
      <w:tr w:rsidR="00133761" w:rsidRPr="004F0161" w14:paraId="2A79AE8E" w14:textId="77777777" w:rsidTr="00133761">
        <w:trPr>
          <w:trHeight w:val="340"/>
        </w:trPr>
        <w:tc>
          <w:tcPr>
            <w:tcW w:w="3539" w:type="dxa"/>
          </w:tcPr>
          <w:p w14:paraId="796F38D3" w14:textId="77777777" w:rsidR="00133761" w:rsidRPr="004F0161" w:rsidRDefault="00133761" w:rsidP="00133761">
            <w:pPr>
              <w:spacing w:line="276" w:lineRule="auto"/>
              <w:rPr>
                <w:rFonts w:cs="Arial"/>
                <w:b/>
                <w:bCs/>
              </w:rPr>
            </w:pPr>
            <w:r w:rsidRPr="004F0161">
              <w:rPr>
                <w:rFonts w:cs="Arial"/>
                <w:b/>
                <w:bCs/>
              </w:rPr>
              <w:t>Total Complaints received</w:t>
            </w:r>
          </w:p>
        </w:tc>
        <w:tc>
          <w:tcPr>
            <w:tcW w:w="969" w:type="dxa"/>
            <w:shd w:val="clear" w:color="auto" w:fill="auto"/>
          </w:tcPr>
          <w:p w14:paraId="3AE3F668" w14:textId="28CF020A" w:rsidR="00133761" w:rsidRPr="004F0161" w:rsidRDefault="00530EDE" w:rsidP="00133761">
            <w:pPr>
              <w:spacing w:line="276" w:lineRule="auto"/>
              <w:jc w:val="right"/>
              <w:rPr>
                <w:rFonts w:cs="Arial"/>
              </w:rPr>
            </w:pPr>
            <w:r>
              <w:rPr>
                <w:rFonts w:cs="Arial"/>
              </w:rPr>
              <w:t>Complaints per 1000 properties (3.</w:t>
            </w:r>
            <w:r w:rsidR="00A93109">
              <w:rPr>
                <w:rFonts w:cs="Arial"/>
              </w:rPr>
              <w:t>83</w:t>
            </w:r>
            <w:r>
              <w:rPr>
                <w:rFonts w:cs="Arial"/>
              </w:rPr>
              <w:t>)</w:t>
            </w:r>
          </w:p>
        </w:tc>
        <w:tc>
          <w:tcPr>
            <w:tcW w:w="1299" w:type="dxa"/>
          </w:tcPr>
          <w:p w14:paraId="5670C215" w14:textId="0F2F3D47" w:rsidR="00133761" w:rsidRPr="004F0161" w:rsidRDefault="002F6AD2" w:rsidP="00133761">
            <w:pPr>
              <w:spacing w:line="276" w:lineRule="auto"/>
              <w:jc w:val="right"/>
              <w:rPr>
                <w:rFonts w:cs="Arial"/>
              </w:rPr>
            </w:pPr>
            <w:r>
              <w:rPr>
                <w:rFonts w:cs="Arial"/>
              </w:rPr>
              <w:t>2.91</w:t>
            </w:r>
            <w:r w:rsidR="00DC0997">
              <w:rPr>
                <w:rFonts w:cs="Arial"/>
              </w:rPr>
              <w:t xml:space="preserve"> (</w:t>
            </w:r>
            <w:r w:rsidR="005B6F74">
              <w:rPr>
                <w:rFonts w:cs="Arial"/>
              </w:rPr>
              <w:t>356)</w:t>
            </w:r>
          </w:p>
        </w:tc>
        <w:tc>
          <w:tcPr>
            <w:tcW w:w="1276" w:type="dxa"/>
          </w:tcPr>
          <w:p w14:paraId="108713CE" w14:textId="5718ED6D" w:rsidR="00133761" w:rsidRPr="004F0161" w:rsidRDefault="005B6F74" w:rsidP="00133761">
            <w:pPr>
              <w:spacing w:line="276" w:lineRule="auto"/>
              <w:jc w:val="right"/>
              <w:rPr>
                <w:rFonts w:cs="Arial"/>
              </w:rPr>
            </w:pPr>
            <w:r>
              <w:rPr>
                <w:rFonts w:cs="Arial"/>
              </w:rPr>
              <w:t>Complaints per 1000 properties (3.13</w:t>
            </w:r>
            <w:r w:rsidR="00400924">
              <w:rPr>
                <w:rFonts w:cs="Arial"/>
              </w:rPr>
              <w:t>)</w:t>
            </w:r>
          </w:p>
        </w:tc>
        <w:tc>
          <w:tcPr>
            <w:tcW w:w="1276" w:type="dxa"/>
          </w:tcPr>
          <w:p w14:paraId="3ED2725A" w14:textId="5ED21060" w:rsidR="00133761" w:rsidRPr="004F0161" w:rsidRDefault="005B6F74" w:rsidP="00133761">
            <w:pPr>
              <w:spacing w:line="276" w:lineRule="auto"/>
              <w:jc w:val="right"/>
              <w:rPr>
                <w:rFonts w:cs="Arial"/>
              </w:rPr>
            </w:pPr>
            <w:r>
              <w:rPr>
                <w:rFonts w:cs="Arial"/>
              </w:rPr>
              <w:t>2.75</w:t>
            </w:r>
            <w:r w:rsidR="002975E8">
              <w:rPr>
                <w:rFonts w:cs="Arial"/>
              </w:rPr>
              <w:t xml:space="preserve"> (</w:t>
            </w:r>
            <w:r>
              <w:rPr>
                <w:rFonts w:cs="Arial"/>
              </w:rPr>
              <w:t>370</w:t>
            </w:r>
            <w:r w:rsidR="002975E8">
              <w:rPr>
                <w:rFonts w:cs="Arial"/>
              </w:rPr>
              <w:t xml:space="preserve"> complaints)</w:t>
            </w:r>
          </w:p>
        </w:tc>
      </w:tr>
      <w:tr w:rsidR="00133761" w:rsidRPr="004F0161" w14:paraId="5FB7164A" w14:textId="77777777" w:rsidTr="00133761">
        <w:trPr>
          <w:trHeight w:val="340"/>
        </w:trPr>
        <w:tc>
          <w:tcPr>
            <w:tcW w:w="3539" w:type="dxa"/>
          </w:tcPr>
          <w:p w14:paraId="192A387B" w14:textId="77777777" w:rsidR="00133761" w:rsidRPr="004F0161" w:rsidRDefault="00133761" w:rsidP="00133761">
            <w:pPr>
              <w:spacing w:line="276" w:lineRule="auto"/>
              <w:rPr>
                <w:rFonts w:cs="Arial"/>
                <w:b/>
                <w:bCs/>
              </w:rPr>
            </w:pPr>
            <w:r w:rsidRPr="004F0161">
              <w:rPr>
                <w:rFonts w:cs="Arial"/>
                <w:b/>
                <w:bCs/>
              </w:rPr>
              <w:t>% responded in target</w:t>
            </w:r>
          </w:p>
        </w:tc>
        <w:tc>
          <w:tcPr>
            <w:tcW w:w="969" w:type="dxa"/>
            <w:shd w:val="clear" w:color="auto" w:fill="auto"/>
          </w:tcPr>
          <w:p w14:paraId="03C597AF" w14:textId="2782065F" w:rsidR="00133761" w:rsidRPr="004F0161" w:rsidRDefault="00D04CF4" w:rsidP="00133761">
            <w:pPr>
              <w:spacing w:line="276" w:lineRule="auto"/>
              <w:jc w:val="right"/>
              <w:rPr>
                <w:rFonts w:cs="Arial"/>
              </w:rPr>
            </w:pPr>
            <w:r>
              <w:rPr>
                <w:rFonts w:cs="Arial"/>
              </w:rPr>
              <w:t>98.6%</w:t>
            </w:r>
          </w:p>
        </w:tc>
        <w:tc>
          <w:tcPr>
            <w:tcW w:w="1299" w:type="dxa"/>
          </w:tcPr>
          <w:p w14:paraId="4E58D59D" w14:textId="5B964A6C" w:rsidR="00133761" w:rsidRPr="004F0161" w:rsidRDefault="00D04CF4" w:rsidP="00133761">
            <w:pPr>
              <w:spacing w:line="276" w:lineRule="auto"/>
              <w:jc w:val="right"/>
              <w:rPr>
                <w:rFonts w:cs="Arial"/>
              </w:rPr>
            </w:pPr>
            <w:r>
              <w:rPr>
                <w:rFonts w:cs="Arial"/>
              </w:rPr>
              <w:t>98.6%</w:t>
            </w:r>
          </w:p>
        </w:tc>
        <w:tc>
          <w:tcPr>
            <w:tcW w:w="1276" w:type="dxa"/>
          </w:tcPr>
          <w:p w14:paraId="51B3837A" w14:textId="2FB203E0" w:rsidR="00133761" w:rsidRPr="004F0161" w:rsidRDefault="00133761" w:rsidP="00133761">
            <w:pPr>
              <w:spacing w:line="276" w:lineRule="auto"/>
              <w:jc w:val="right"/>
              <w:rPr>
                <w:rFonts w:cs="Arial"/>
              </w:rPr>
            </w:pPr>
            <w:r>
              <w:rPr>
                <w:rFonts w:cs="Arial"/>
              </w:rPr>
              <w:t>9</w:t>
            </w:r>
            <w:r w:rsidR="002975E8">
              <w:rPr>
                <w:rFonts w:cs="Arial"/>
              </w:rPr>
              <w:t>8.6</w:t>
            </w:r>
            <w:r w:rsidR="00D04CF4">
              <w:rPr>
                <w:rFonts w:cs="Arial"/>
              </w:rPr>
              <w:t>%</w:t>
            </w:r>
          </w:p>
        </w:tc>
        <w:tc>
          <w:tcPr>
            <w:tcW w:w="1276" w:type="dxa"/>
          </w:tcPr>
          <w:p w14:paraId="4107B4FD" w14:textId="3A2C4A44" w:rsidR="00133761" w:rsidRPr="004F0161" w:rsidRDefault="00D04CF4" w:rsidP="00133761">
            <w:pPr>
              <w:spacing w:line="276" w:lineRule="auto"/>
              <w:jc w:val="right"/>
              <w:rPr>
                <w:rFonts w:cs="Arial"/>
              </w:rPr>
            </w:pPr>
            <w:r>
              <w:rPr>
                <w:rFonts w:cs="Arial"/>
              </w:rPr>
              <w:t>76.6%</w:t>
            </w:r>
          </w:p>
        </w:tc>
      </w:tr>
      <w:tr w:rsidR="00133761" w:rsidRPr="004F0161" w14:paraId="5A89DC8D" w14:textId="77777777" w:rsidTr="00133761">
        <w:trPr>
          <w:trHeight w:val="340"/>
        </w:trPr>
        <w:tc>
          <w:tcPr>
            <w:tcW w:w="3539" w:type="dxa"/>
          </w:tcPr>
          <w:p w14:paraId="0DDF008F" w14:textId="77777777" w:rsidR="00133761" w:rsidRPr="004F0161" w:rsidRDefault="00133761" w:rsidP="00133761">
            <w:pPr>
              <w:spacing w:line="276" w:lineRule="auto"/>
              <w:rPr>
                <w:rFonts w:cs="Arial"/>
                <w:b/>
                <w:bCs/>
              </w:rPr>
            </w:pPr>
            <w:r w:rsidRPr="004F0161">
              <w:rPr>
                <w:rFonts w:cs="Arial"/>
                <w:b/>
                <w:bCs/>
              </w:rPr>
              <w:t>Average days to respond</w:t>
            </w:r>
          </w:p>
        </w:tc>
        <w:tc>
          <w:tcPr>
            <w:tcW w:w="969" w:type="dxa"/>
            <w:shd w:val="clear" w:color="auto" w:fill="auto"/>
          </w:tcPr>
          <w:p w14:paraId="3F25221A" w14:textId="77777777" w:rsidR="00133761" w:rsidRPr="004F0161" w:rsidRDefault="00133761" w:rsidP="00133761">
            <w:pPr>
              <w:spacing w:line="276" w:lineRule="auto"/>
              <w:jc w:val="right"/>
              <w:rPr>
                <w:rFonts w:cs="Arial"/>
              </w:rPr>
            </w:pPr>
            <w:r w:rsidRPr="004F0161">
              <w:rPr>
                <w:rFonts w:cs="Arial"/>
              </w:rPr>
              <w:t>10</w:t>
            </w:r>
          </w:p>
        </w:tc>
        <w:tc>
          <w:tcPr>
            <w:tcW w:w="1299" w:type="dxa"/>
          </w:tcPr>
          <w:p w14:paraId="0E9A031C" w14:textId="51AA2CED" w:rsidR="00133761" w:rsidRPr="004F0161" w:rsidRDefault="00133761" w:rsidP="00133761">
            <w:pPr>
              <w:spacing w:line="276" w:lineRule="auto"/>
              <w:jc w:val="right"/>
              <w:rPr>
                <w:rFonts w:cs="Arial"/>
              </w:rPr>
            </w:pPr>
            <w:r>
              <w:rPr>
                <w:rFonts w:cs="Arial"/>
              </w:rPr>
              <w:t>10.</w:t>
            </w:r>
            <w:r w:rsidR="00CE4300">
              <w:rPr>
                <w:rFonts w:cs="Arial"/>
              </w:rPr>
              <w:t>6</w:t>
            </w:r>
          </w:p>
        </w:tc>
        <w:tc>
          <w:tcPr>
            <w:tcW w:w="1276" w:type="dxa"/>
          </w:tcPr>
          <w:p w14:paraId="7DC9BA91" w14:textId="78E4F577" w:rsidR="00133761" w:rsidRPr="004F0161" w:rsidRDefault="00133761" w:rsidP="00133761">
            <w:pPr>
              <w:spacing w:line="276" w:lineRule="auto"/>
              <w:jc w:val="right"/>
              <w:rPr>
                <w:rFonts w:cs="Arial"/>
              </w:rPr>
            </w:pPr>
            <w:r w:rsidRPr="004F0161">
              <w:rPr>
                <w:rFonts w:cs="Arial"/>
              </w:rPr>
              <w:t>10</w:t>
            </w:r>
          </w:p>
        </w:tc>
        <w:tc>
          <w:tcPr>
            <w:tcW w:w="1276" w:type="dxa"/>
          </w:tcPr>
          <w:p w14:paraId="4575FD79" w14:textId="330ED9F8" w:rsidR="00133761" w:rsidRPr="004F0161" w:rsidRDefault="00CE4300" w:rsidP="00133761">
            <w:pPr>
              <w:spacing w:line="276" w:lineRule="auto"/>
              <w:jc w:val="right"/>
              <w:rPr>
                <w:rFonts w:cs="Arial"/>
              </w:rPr>
            </w:pPr>
            <w:r>
              <w:rPr>
                <w:rFonts w:cs="Arial"/>
              </w:rPr>
              <w:t>15.5</w:t>
            </w:r>
          </w:p>
        </w:tc>
      </w:tr>
      <w:tr w:rsidR="00133761" w:rsidRPr="004F0161" w14:paraId="1408400D" w14:textId="77777777" w:rsidTr="00133761">
        <w:trPr>
          <w:trHeight w:val="340"/>
        </w:trPr>
        <w:tc>
          <w:tcPr>
            <w:tcW w:w="3539" w:type="dxa"/>
          </w:tcPr>
          <w:p w14:paraId="75DF0601" w14:textId="77777777" w:rsidR="00133761" w:rsidRPr="004F0161" w:rsidRDefault="00133761" w:rsidP="00133761">
            <w:pPr>
              <w:spacing w:line="276" w:lineRule="auto"/>
              <w:rPr>
                <w:rFonts w:cs="Arial"/>
                <w:b/>
                <w:bCs/>
              </w:rPr>
            </w:pPr>
            <w:r w:rsidRPr="004F0161">
              <w:rPr>
                <w:rFonts w:cs="Arial"/>
                <w:b/>
                <w:bCs/>
              </w:rPr>
              <w:t>Satisfaction – handling</w:t>
            </w:r>
          </w:p>
        </w:tc>
        <w:tc>
          <w:tcPr>
            <w:tcW w:w="969" w:type="dxa"/>
            <w:shd w:val="clear" w:color="auto" w:fill="auto"/>
          </w:tcPr>
          <w:p w14:paraId="07F64D14" w14:textId="09BACAB9" w:rsidR="00133761" w:rsidRPr="004F0161" w:rsidRDefault="009C68C5" w:rsidP="00133761">
            <w:pPr>
              <w:spacing w:line="276" w:lineRule="auto"/>
              <w:jc w:val="right"/>
              <w:rPr>
                <w:rFonts w:cs="Arial"/>
              </w:rPr>
            </w:pPr>
            <w:r>
              <w:rPr>
                <w:rFonts w:cs="Arial"/>
              </w:rPr>
              <w:t>65.6%</w:t>
            </w:r>
          </w:p>
        </w:tc>
        <w:tc>
          <w:tcPr>
            <w:tcW w:w="1299" w:type="dxa"/>
          </w:tcPr>
          <w:p w14:paraId="0EF79D5C" w14:textId="5B07EAC1" w:rsidR="00133761" w:rsidRPr="004F0161" w:rsidRDefault="00545BE3" w:rsidP="00133761">
            <w:pPr>
              <w:spacing w:line="276" w:lineRule="auto"/>
              <w:jc w:val="right"/>
              <w:rPr>
                <w:rFonts w:cs="Arial"/>
              </w:rPr>
            </w:pPr>
            <w:r>
              <w:rPr>
                <w:rFonts w:cs="Arial"/>
              </w:rPr>
              <w:t>41.</w:t>
            </w:r>
            <w:r w:rsidR="00B020AF">
              <w:rPr>
                <w:rFonts w:cs="Arial"/>
              </w:rPr>
              <w:t>77%</w:t>
            </w:r>
          </w:p>
        </w:tc>
        <w:tc>
          <w:tcPr>
            <w:tcW w:w="1276" w:type="dxa"/>
          </w:tcPr>
          <w:p w14:paraId="12F849B3" w14:textId="7D9D80F2" w:rsidR="00133761" w:rsidRPr="004F0161" w:rsidRDefault="009C68C5" w:rsidP="00133761">
            <w:pPr>
              <w:spacing w:line="276" w:lineRule="auto"/>
              <w:jc w:val="right"/>
              <w:rPr>
                <w:rFonts w:cs="Arial"/>
              </w:rPr>
            </w:pPr>
            <w:r>
              <w:rPr>
                <w:rFonts w:cs="Arial"/>
              </w:rPr>
              <w:t>55%</w:t>
            </w:r>
          </w:p>
        </w:tc>
        <w:tc>
          <w:tcPr>
            <w:tcW w:w="1276" w:type="dxa"/>
          </w:tcPr>
          <w:p w14:paraId="4C5C8287" w14:textId="36B2C12E" w:rsidR="00133761" w:rsidRPr="004F0161" w:rsidRDefault="007A5424" w:rsidP="00133761">
            <w:pPr>
              <w:spacing w:line="276" w:lineRule="auto"/>
              <w:jc w:val="right"/>
              <w:rPr>
                <w:rFonts w:cs="Arial"/>
              </w:rPr>
            </w:pPr>
            <w:r>
              <w:rPr>
                <w:rFonts w:cs="Arial"/>
              </w:rPr>
              <w:t>46.67%</w:t>
            </w:r>
          </w:p>
        </w:tc>
      </w:tr>
      <w:tr w:rsidR="00133761" w:rsidRPr="004F0161" w14:paraId="037F34C3" w14:textId="77777777" w:rsidTr="00133761">
        <w:trPr>
          <w:trHeight w:val="340"/>
        </w:trPr>
        <w:tc>
          <w:tcPr>
            <w:tcW w:w="3539" w:type="dxa"/>
          </w:tcPr>
          <w:p w14:paraId="1B8DDF62" w14:textId="77777777" w:rsidR="00133761" w:rsidRPr="004F0161" w:rsidRDefault="00133761" w:rsidP="00133761">
            <w:pPr>
              <w:spacing w:line="276" w:lineRule="auto"/>
              <w:rPr>
                <w:rFonts w:cs="Arial"/>
                <w:b/>
                <w:bCs/>
              </w:rPr>
            </w:pPr>
            <w:r w:rsidRPr="004F0161">
              <w:rPr>
                <w:rFonts w:cs="Arial"/>
                <w:b/>
                <w:bCs/>
              </w:rPr>
              <w:t>Satisfaction - outcome</w:t>
            </w:r>
          </w:p>
        </w:tc>
        <w:tc>
          <w:tcPr>
            <w:tcW w:w="969" w:type="dxa"/>
            <w:shd w:val="clear" w:color="auto" w:fill="auto"/>
          </w:tcPr>
          <w:p w14:paraId="2CBF6FF8" w14:textId="5129938F" w:rsidR="00133761" w:rsidRPr="004F0161" w:rsidRDefault="009C68C5" w:rsidP="00133761">
            <w:pPr>
              <w:spacing w:line="276" w:lineRule="auto"/>
              <w:jc w:val="right"/>
              <w:rPr>
                <w:rFonts w:cs="Arial"/>
              </w:rPr>
            </w:pPr>
            <w:r>
              <w:rPr>
                <w:rFonts w:cs="Arial"/>
              </w:rPr>
              <w:t>63.4%</w:t>
            </w:r>
          </w:p>
        </w:tc>
        <w:tc>
          <w:tcPr>
            <w:tcW w:w="1299" w:type="dxa"/>
          </w:tcPr>
          <w:p w14:paraId="47374DDE" w14:textId="097E08F0" w:rsidR="00133761" w:rsidRPr="004F0161" w:rsidRDefault="006B07A8" w:rsidP="00133761">
            <w:pPr>
              <w:spacing w:line="276" w:lineRule="auto"/>
              <w:jc w:val="right"/>
              <w:rPr>
                <w:rFonts w:cs="Arial"/>
              </w:rPr>
            </w:pPr>
            <w:r>
              <w:rPr>
                <w:rFonts w:cs="Arial"/>
              </w:rPr>
              <w:t>36.36%</w:t>
            </w:r>
          </w:p>
        </w:tc>
        <w:tc>
          <w:tcPr>
            <w:tcW w:w="1276" w:type="dxa"/>
          </w:tcPr>
          <w:p w14:paraId="01A3351D" w14:textId="3FF00A72" w:rsidR="00133761" w:rsidRPr="004F0161" w:rsidRDefault="009C68C5" w:rsidP="00133761">
            <w:pPr>
              <w:spacing w:line="276" w:lineRule="auto"/>
              <w:jc w:val="right"/>
              <w:rPr>
                <w:rFonts w:cs="Arial"/>
              </w:rPr>
            </w:pPr>
            <w:r>
              <w:rPr>
                <w:rFonts w:cs="Arial"/>
              </w:rPr>
              <w:t>55%</w:t>
            </w:r>
          </w:p>
        </w:tc>
        <w:tc>
          <w:tcPr>
            <w:tcW w:w="1276" w:type="dxa"/>
          </w:tcPr>
          <w:p w14:paraId="2FB31025" w14:textId="18128C69" w:rsidR="00133761" w:rsidRPr="004F0161" w:rsidRDefault="0015724F" w:rsidP="00133761">
            <w:pPr>
              <w:spacing w:line="276" w:lineRule="auto"/>
              <w:jc w:val="right"/>
              <w:rPr>
                <w:rFonts w:cs="Arial"/>
              </w:rPr>
            </w:pPr>
            <w:r>
              <w:rPr>
                <w:rFonts w:cs="Arial"/>
              </w:rPr>
              <w:t>31.82%</w:t>
            </w:r>
          </w:p>
        </w:tc>
      </w:tr>
    </w:tbl>
    <w:p w14:paraId="3EB76CD3" w14:textId="77777777" w:rsidR="0035797B" w:rsidRPr="004F0161" w:rsidRDefault="0035797B" w:rsidP="004F0161">
      <w:pPr>
        <w:spacing w:line="276" w:lineRule="auto"/>
        <w:jc w:val="both"/>
        <w:rPr>
          <w:rFonts w:cs="Arial"/>
        </w:rPr>
      </w:pPr>
    </w:p>
    <w:p w14:paraId="6D0D71CE" w14:textId="4BC1EEC9" w:rsidR="00141A5C" w:rsidRPr="004849FC" w:rsidRDefault="00B72899" w:rsidP="004849FC">
      <w:pPr>
        <w:pStyle w:val="ListParagraph"/>
        <w:numPr>
          <w:ilvl w:val="0"/>
          <w:numId w:val="39"/>
        </w:numPr>
        <w:spacing w:after="120" w:line="276" w:lineRule="auto"/>
        <w:ind w:left="567" w:hanging="567"/>
        <w:jc w:val="both"/>
        <w:rPr>
          <w:rFonts w:cs="Arial"/>
        </w:rPr>
      </w:pPr>
      <w:r>
        <w:rPr>
          <w:rFonts w:cs="Arial"/>
        </w:rPr>
        <w:t>Communications to customers via our complaints panel</w:t>
      </w:r>
      <w:r w:rsidR="00672A56">
        <w:rPr>
          <w:rFonts w:cs="Arial"/>
        </w:rPr>
        <w:t xml:space="preserve"> recommendation</w:t>
      </w:r>
      <w:r>
        <w:rPr>
          <w:rFonts w:cs="Arial"/>
        </w:rPr>
        <w:t xml:space="preserve"> has </w:t>
      </w:r>
      <w:r w:rsidR="00E607F8">
        <w:rPr>
          <w:rFonts w:cs="Arial"/>
        </w:rPr>
        <w:t>encouraged customers to let us know when they have an issue, as such, our complaints have</w:t>
      </w:r>
      <w:r w:rsidR="001F2D5E">
        <w:rPr>
          <w:rFonts w:cs="Arial"/>
        </w:rPr>
        <w:t xml:space="preserve"> risen slightly. </w:t>
      </w:r>
    </w:p>
    <w:p w14:paraId="216B9C90" w14:textId="74C38A02" w:rsidR="003642BA" w:rsidRDefault="00194C32" w:rsidP="004849FC">
      <w:pPr>
        <w:pStyle w:val="ListParagraph"/>
        <w:numPr>
          <w:ilvl w:val="0"/>
          <w:numId w:val="39"/>
        </w:numPr>
        <w:spacing w:after="120" w:line="276" w:lineRule="auto"/>
        <w:ind w:left="567" w:hanging="567"/>
        <w:jc w:val="both"/>
        <w:rPr>
          <w:rFonts w:cs="Arial"/>
        </w:rPr>
      </w:pPr>
      <w:r>
        <w:rPr>
          <w:rFonts w:cs="Arial"/>
        </w:rPr>
        <w:t xml:space="preserve">In line with the update to the Handling Code, </w:t>
      </w:r>
      <w:r w:rsidR="00D507B2">
        <w:rPr>
          <w:rFonts w:cs="Arial"/>
        </w:rPr>
        <w:t xml:space="preserve">service request type issues were logged via QL. These type of requests are either dealt with at first point of contact, or by team leaders within </w:t>
      </w:r>
      <w:r w:rsidR="00312CE2">
        <w:rPr>
          <w:rFonts w:cs="Arial"/>
        </w:rPr>
        <w:t>5 working days of reporting. If not resolved or where customers indicate they wish to continue with a complaint, they are logged at stage 1.</w:t>
      </w:r>
    </w:p>
    <w:p w14:paraId="66608D1B" w14:textId="2DFF71AC" w:rsidR="00312CE2" w:rsidRDefault="00312CE2" w:rsidP="00312CE2">
      <w:pPr>
        <w:pStyle w:val="ListParagraph"/>
        <w:spacing w:after="120" w:line="276" w:lineRule="auto"/>
        <w:ind w:left="567"/>
        <w:jc w:val="both"/>
        <w:rPr>
          <w:rFonts w:cs="Arial"/>
        </w:rPr>
      </w:pPr>
      <w:r w:rsidRPr="00312CE2">
        <w:rPr>
          <w:rFonts w:cs="Arial"/>
          <w:noProof/>
        </w:rPr>
        <w:lastRenderedPageBreak/>
        <w:drawing>
          <wp:inline distT="0" distB="0" distL="0" distR="0" wp14:anchorId="3BB8998B" wp14:editId="594544B2">
            <wp:extent cx="4993132" cy="2961249"/>
            <wp:effectExtent l="0" t="0" r="0" b="0"/>
            <wp:docPr id="575189362" name="Picture 1" descr="A graph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189362" name="Picture 1" descr="A graph with text on it&#10;&#10;AI-generated content may be incorrect."/>
                    <pic:cNvPicPr/>
                  </pic:nvPicPr>
                  <pic:blipFill>
                    <a:blip r:embed="rId12"/>
                    <a:stretch>
                      <a:fillRect/>
                    </a:stretch>
                  </pic:blipFill>
                  <pic:spPr>
                    <a:xfrm>
                      <a:off x="0" y="0"/>
                      <a:ext cx="5000837" cy="2965818"/>
                    </a:xfrm>
                    <a:prstGeom prst="rect">
                      <a:avLst/>
                    </a:prstGeom>
                  </pic:spPr>
                </pic:pic>
              </a:graphicData>
            </a:graphic>
          </wp:inline>
        </w:drawing>
      </w:r>
    </w:p>
    <w:p w14:paraId="1BAD45F0" w14:textId="186BD981" w:rsidR="00C0329D" w:rsidRPr="004F0161" w:rsidRDefault="00C0329D" w:rsidP="008F4194">
      <w:pPr>
        <w:pStyle w:val="ListParagraph"/>
        <w:spacing w:after="120" w:line="276" w:lineRule="auto"/>
        <w:ind w:left="567"/>
        <w:jc w:val="both"/>
        <w:rPr>
          <w:rFonts w:cs="Arial"/>
        </w:rPr>
      </w:pPr>
    </w:p>
    <w:tbl>
      <w:tblPr>
        <w:tblStyle w:val="TableGrid"/>
        <w:tblpPr w:leftFromText="180" w:rightFromText="180" w:vertAnchor="text" w:horzAnchor="margin" w:tblpXSpec="center" w:tblpY="27"/>
        <w:tblW w:w="0" w:type="auto"/>
        <w:tblLook w:val="04A0" w:firstRow="1" w:lastRow="0" w:firstColumn="1" w:lastColumn="0" w:noHBand="0" w:noVBand="1"/>
      </w:tblPr>
      <w:tblGrid>
        <w:gridCol w:w="2968"/>
        <w:gridCol w:w="1852"/>
        <w:gridCol w:w="2267"/>
      </w:tblGrid>
      <w:tr w:rsidR="00050C82" w:rsidRPr="004F0161" w14:paraId="6D6DD07D" w14:textId="77777777" w:rsidTr="00540A0B">
        <w:trPr>
          <w:trHeight w:val="340"/>
        </w:trPr>
        <w:tc>
          <w:tcPr>
            <w:tcW w:w="2968" w:type="dxa"/>
            <w:tcBorders>
              <w:top w:val="nil"/>
              <w:left w:val="nil"/>
            </w:tcBorders>
          </w:tcPr>
          <w:p w14:paraId="42D6A239" w14:textId="77777777" w:rsidR="00050C82" w:rsidRPr="004F0161" w:rsidRDefault="00050C82" w:rsidP="00540A0B">
            <w:pPr>
              <w:spacing w:after="120"/>
              <w:rPr>
                <w:rFonts w:eastAsiaTheme="minorHAnsi" w:cs="Arial"/>
                <w:lang w:eastAsia="en-US"/>
              </w:rPr>
            </w:pPr>
          </w:p>
        </w:tc>
        <w:tc>
          <w:tcPr>
            <w:tcW w:w="1852" w:type="dxa"/>
            <w:shd w:val="clear" w:color="auto" w:fill="ACB9CA" w:themeFill="text2" w:themeFillTint="66"/>
          </w:tcPr>
          <w:p w14:paraId="3F1A2CF0" w14:textId="2D8DA6B2" w:rsidR="00050C82" w:rsidRPr="00540A0B" w:rsidRDefault="00050C82" w:rsidP="00540A0B">
            <w:pPr>
              <w:jc w:val="center"/>
              <w:rPr>
                <w:rFonts w:cs="Arial"/>
                <w:b/>
                <w:bCs/>
              </w:rPr>
            </w:pPr>
            <w:r w:rsidRPr="00540A0B">
              <w:rPr>
                <w:rFonts w:cs="Arial"/>
                <w:b/>
                <w:bCs/>
              </w:rPr>
              <w:t xml:space="preserve">LHP </w:t>
            </w:r>
            <w:r w:rsidR="008D60E5">
              <w:rPr>
                <w:rFonts w:cs="Arial"/>
                <w:b/>
                <w:bCs/>
              </w:rPr>
              <w:t>2</w:t>
            </w:r>
            <w:r w:rsidR="001755E8">
              <w:rPr>
                <w:rFonts w:cs="Arial"/>
                <w:b/>
                <w:bCs/>
              </w:rPr>
              <w:t>4</w:t>
            </w:r>
            <w:r w:rsidR="008D60E5">
              <w:rPr>
                <w:rFonts w:cs="Arial"/>
                <w:b/>
                <w:bCs/>
              </w:rPr>
              <w:t>/2</w:t>
            </w:r>
            <w:r w:rsidR="001755E8">
              <w:rPr>
                <w:rFonts w:cs="Arial"/>
                <w:b/>
                <w:bCs/>
              </w:rPr>
              <w:t>5</w:t>
            </w:r>
          </w:p>
        </w:tc>
        <w:tc>
          <w:tcPr>
            <w:tcW w:w="2267" w:type="dxa"/>
            <w:shd w:val="clear" w:color="auto" w:fill="ACB9CA" w:themeFill="text2" w:themeFillTint="66"/>
          </w:tcPr>
          <w:p w14:paraId="6A3AD0EC" w14:textId="77777777" w:rsidR="00050C82" w:rsidRPr="00540A0B" w:rsidRDefault="00050C82" w:rsidP="00540A0B">
            <w:pPr>
              <w:jc w:val="center"/>
              <w:rPr>
                <w:rFonts w:cs="Arial"/>
                <w:b/>
                <w:bCs/>
              </w:rPr>
            </w:pPr>
            <w:r w:rsidRPr="00540A0B">
              <w:rPr>
                <w:rFonts w:cs="Arial"/>
                <w:b/>
                <w:bCs/>
              </w:rPr>
              <w:t>Housemark Median</w:t>
            </w:r>
          </w:p>
        </w:tc>
      </w:tr>
      <w:tr w:rsidR="00050C82" w:rsidRPr="004F0161" w14:paraId="292AE983" w14:textId="77777777" w:rsidTr="00540A0B">
        <w:trPr>
          <w:trHeight w:val="340"/>
        </w:trPr>
        <w:tc>
          <w:tcPr>
            <w:tcW w:w="2968" w:type="dxa"/>
          </w:tcPr>
          <w:p w14:paraId="28E434B0" w14:textId="77777777" w:rsidR="00050C82" w:rsidRPr="004F0161" w:rsidRDefault="00050C82" w:rsidP="00540A0B">
            <w:pPr>
              <w:spacing w:after="120"/>
              <w:rPr>
                <w:rFonts w:eastAsiaTheme="minorHAnsi" w:cs="Arial"/>
                <w:b/>
                <w:bCs/>
                <w:lang w:eastAsia="en-US"/>
              </w:rPr>
            </w:pPr>
            <w:r w:rsidRPr="004F0161">
              <w:rPr>
                <w:rFonts w:eastAsiaTheme="minorHAnsi" w:cs="Arial"/>
                <w:b/>
                <w:bCs/>
                <w:lang w:eastAsia="en-US"/>
              </w:rPr>
              <w:t>Handling Satisfaction</w:t>
            </w:r>
          </w:p>
        </w:tc>
        <w:tc>
          <w:tcPr>
            <w:tcW w:w="1852" w:type="dxa"/>
          </w:tcPr>
          <w:p w14:paraId="55C5FF5B" w14:textId="4B19EE96" w:rsidR="00050C82" w:rsidRPr="004F0161" w:rsidRDefault="00CF1EFB" w:rsidP="00540A0B">
            <w:pPr>
              <w:spacing w:after="120"/>
              <w:jc w:val="center"/>
              <w:rPr>
                <w:rFonts w:eastAsiaTheme="minorHAnsi" w:cs="Arial"/>
                <w:lang w:eastAsia="en-US"/>
              </w:rPr>
            </w:pPr>
            <w:r>
              <w:rPr>
                <w:rFonts w:eastAsiaTheme="minorHAnsi" w:cs="Arial"/>
                <w:lang w:eastAsia="en-US"/>
              </w:rPr>
              <w:t>46.67%</w:t>
            </w:r>
          </w:p>
        </w:tc>
        <w:tc>
          <w:tcPr>
            <w:tcW w:w="2267" w:type="dxa"/>
          </w:tcPr>
          <w:p w14:paraId="27E22179" w14:textId="7C4471A8" w:rsidR="00050C82" w:rsidRPr="004F0161" w:rsidRDefault="00CF1EFB" w:rsidP="00540A0B">
            <w:pPr>
              <w:spacing w:after="120"/>
              <w:jc w:val="center"/>
              <w:rPr>
                <w:rFonts w:eastAsiaTheme="minorHAnsi" w:cs="Arial"/>
                <w:lang w:eastAsia="en-US"/>
              </w:rPr>
            </w:pPr>
            <w:r>
              <w:rPr>
                <w:rFonts w:eastAsiaTheme="minorHAnsi" w:cs="Arial"/>
                <w:lang w:eastAsia="en-US"/>
              </w:rPr>
              <w:t>46.8%</w:t>
            </w:r>
          </w:p>
        </w:tc>
      </w:tr>
      <w:tr w:rsidR="00050C82" w:rsidRPr="004F0161" w14:paraId="5DDAC1D7" w14:textId="77777777" w:rsidTr="00540A0B">
        <w:trPr>
          <w:trHeight w:val="340"/>
        </w:trPr>
        <w:tc>
          <w:tcPr>
            <w:tcW w:w="2968" w:type="dxa"/>
          </w:tcPr>
          <w:p w14:paraId="6E4D1629" w14:textId="77777777" w:rsidR="00050C82" w:rsidRPr="004F0161" w:rsidRDefault="00050C82" w:rsidP="00540A0B">
            <w:pPr>
              <w:spacing w:after="120"/>
              <w:rPr>
                <w:rFonts w:eastAsiaTheme="minorHAnsi" w:cs="Arial"/>
                <w:b/>
                <w:bCs/>
                <w:lang w:eastAsia="en-US"/>
              </w:rPr>
            </w:pPr>
            <w:r w:rsidRPr="004F0161">
              <w:rPr>
                <w:rFonts w:eastAsiaTheme="minorHAnsi" w:cs="Arial"/>
                <w:b/>
                <w:bCs/>
                <w:lang w:eastAsia="en-US"/>
              </w:rPr>
              <w:t>Outcome Satisfaction</w:t>
            </w:r>
          </w:p>
        </w:tc>
        <w:tc>
          <w:tcPr>
            <w:tcW w:w="1852" w:type="dxa"/>
          </w:tcPr>
          <w:p w14:paraId="1E581F5A" w14:textId="0B03D00C" w:rsidR="00050C82" w:rsidRPr="004F0161" w:rsidRDefault="00CF1EFB" w:rsidP="00540A0B">
            <w:pPr>
              <w:spacing w:after="120"/>
              <w:jc w:val="center"/>
              <w:rPr>
                <w:rFonts w:eastAsiaTheme="minorHAnsi" w:cs="Arial"/>
                <w:lang w:eastAsia="en-US"/>
              </w:rPr>
            </w:pPr>
            <w:r>
              <w:rPr>
                <w:rFonts w:eastAsiaTheme="minorHAnsi" w:cs="Arial"/>
                <w:lang w:eastAsia="en-US"/>
              </w:rPr>
              <w:t>31.82%</w:t>
            </w:r>
          </w:p>
        </w:tc>
        <w:tc>
          <w:tcPr>
            <w:tcW w:w="2267" w:type="dxa"/>
          </w:tcPr>
          <w:p w14:paraId="35B78E4C" w14:textId="1A754EC3" w:rsidR="00050C82" w:rsidRPr="004F0161" w:rsidRDefault="00CF1EFB" w:rsidP="00540A0B">
            <w:pPr>
              <w:spacing w:after="120"/>
              <w:jc w:val="center"/>
              <w:rPr>
                <w:rFonts w:eastAsiaTheme="minorHAnsi" w:cs="Arial"/>
                <w:lang w:eastAsia="en-US"/>
              </w:rPr>
            </w:pPr>
            <w:r>
              <w:rPr>
                <w:rFonts w:eastAsiaTheme="minorHAnsi" w:cs="Arial"/>
                <w:lang w:eastAsia="en-US"/>
              </w:rPr>
              <w:t>42.3%</w:t>
            </w:r>
          </w:p>
        </w:tc>
      </w:tr>
    </w:tbl>
    <w:p w14:paraId="40453CD9" w14:textId="77777777" w:rsidR="009A4D94" w:rsidRPr="004F0161" w:rsidRDefault="009A4D94" w:rsidP="004F0161">
      <w:pPr>
        <w:pStyle w:val="ListParagraph"/>
        <w:spacing w:line="276" w:lineRule="auto"/>
        <w:rPr>
          <w:rFonts w:cs="Arial"/>
        </w:rPr>
      </w:pPr>
    </w:p>
    <w:p w14:paraId="5BEA44DC" w14:textId="77777777" w:rsidR="00050C82" w:rsidRPr="004F0161" w:rsidRDefault="00050C82" w:rsidP="00540A0B">
      <w:pPr>
        <w:spacing w:line="276" w:lineRule="auto"/>
        <w:rPr>
          <w:rFonts w:cs="Arial"/>
        </w:rPr>
      </w:pPr>
    </w:p>
    <w:p w14:paraId="254880DF" w14:textId="77777777" w:rsidR="00050C82" w:rsidRPr="004F0161" w:rsidRDefault="00050C82" w:rsidP="004F0161">
      <w:pPr>
        <w:pStyle w:val="ListParagraph"/>
        <w:spacing w:line="276" w:lineRule="auto"/>
        <w:rPr>
          <w:rFonts w:cs="Arial"/>
        </w:rPr>
      </w:pPr>
    </w:p>
    <w:p w14:paraId="24B1BA2E" w14:textId="77777777" w:rsidR="00050C82" w:rsidRPr="004F0161" w:rsidRDefault="00050C82" w:rsidP="004F0161">
      <w:pPr>
        <w:pStyle w:val="ListParagraph"/>
        <w:spacing w:line="276" w:lineRule="auto"/>
        <w:rPr>
          <w:rFonts w:cs="Arial"/>
        </w:rPr>
      </w:pPr>
    </w:p>
    <w:p w14:paraId="29C6D543" w14:textId="77777777" w:rsidR="00050C82" w:rsidRPr="004F0161" w:rsidRDefault="00050C82" w:rsidP="004F0161">
      <w:pPr>
        <w:pStyle w:val="ListParagraph"/>
        <w:spacing w:line="276" w:lineRule="auto"/>
        <w:rPr>
          <w:rFonts w:cs="Arial"/>
        </w:rPr>
      </w:pPr>
    </w:p>
    <w:p w14:paraId="7B89980C" w14:textId="76EC648F" w:rsidR="008C08E3" w:rsidRDefault="00B64FBB" w:rsidP="004849FC">
      <w:pPr>
        <w:pStyle w:val="ListParagraph"/>
        <w:numPr>
          <w:ilvl w:val="0"/>
          <w:numId w:val="39"/>
        </w:numPr>
        <w:spacing w:after="120" w:line="276" w:lineRule="auto"/>
        <w:ind w:left="567" w:hanging="567"/>
        <w:jc w:val="both"/>
        <w:rPr>
          <w:rFonts w:cs="Arial"/>
        </w:rPr>
      </w:pPr>
      <w:r w:rsidRPr="004F0161">
        <w:rPr>
          <w:rFonts w:cs="Arial"/>
        </w:rPr>
        <w:t xml:space="preserve">Customer satisfaction on complaint handling </w:t>
      </w:r>
      <w:r w:rsidR="00A54DAB">
        <w:rPr>
          <w:rFonts w:cs="Arial"/>
        </w:rPr>
        <w:t>rose by</w:t>
      </w:r>
      <w:r w:rsidR="006A7413">
        <w:rPr>
          <w:rFonts w:cs="Arial"/>
        </w:rPr>
        <w:t xml:space="preserve"> 6%</w:t>
      </w:r>
      <w:r w:rsidR="000515A8">
        <w:rPr>
          <w:rFonts w:cs="Arial"/>
        </w:rPr>
        <w:t xml:space="preserve"> and are in line with the Housemark median scores. This </w:t>
      </w:r>
      <w:r w:rsidR="006A7413">
        <w:rPr>
          <w:rFonts w:cs="Arial"/>
        </w:rPr>
        <w:t xml:space="preserve">is encouraging following </w:t>
      </w:r>
      <w:r w:rsidR="00094343">
        <w:rPr>
          <w:rFonts w:cs="Arial"/>
        </w:rPr>
        <w:t>lunch and learn sessions with investigating officers and increased communication</w:t>
      </w:r>
      <w:r w:rsidR="00C64005">
        <w:rPr>
          <w:rFonts w:cs="Arial"/>
        </w:rPr>
        <w:t xml:space="preserve"> </w:t>
      </w:r>
      <w:r w:rsidR="007F0CDF">
        <w:rPr>
          <w:rFonts w:cs="Arial"/>
        </w:rPr>
        <w:t xml:space="preserve">across the business following </w:t>
      </w:r>
      <w:r w:rsidR="008C08E3">
        <w:rPr>
          <w:rFonts w:cs="Arial"/>
        </w:rPr>
        <w:t xml:space="preserve">complaints panel meetings. </w:t>
      </w:r>
    </w:p>
    <w:p w14:paraId="2E0DDAF6" w14:textId="77777777" w:rsidR="00D076AB" w:rsidRDefault="004167DB" w:rsidP="004849FC">
      <w:pPr>
        <w:pStyle w:val="ListParagraph"/>
        <w:numPr>
          <w:ilvl w:val="0"/>
          <w:numId w:val="39"/>
        </w:numPr>
        <w:spacing w:after="120" w:line="276" w:lineRule="auto"/>
        <w:ind w:left="567" w:hanging="567"/>
        <w:jc w:val="both"/>
        <w:rPr>
          <w:rFonts w:cs="Arial"/>
        </w:rPr>
      </w:pPr>
      <w:r>
        <w:rPr>
          <w:rFonts w:cs="Arial"/>
        </w:rPr>
        <w:t xml:space="preserve">Complaint outcome score rose slightly, although remain </w:t>
      </w:r>
      <w:r w:rsidR="0020278F">
        <w:rPr>
          <w:rFonts w:cs="Arial"/>
        </w:rPr>
        <w:t>lower than the median. Whilst this is disappointing, it acknowledges the feedback we have received on the timescales for our repairs service</w:t>
      </w:r>
      <w:r w:rsidR="00D076AB">
        <w:rPr>
          <w:rFonts w:cs="Arial"/>
        </w:rPr>
        <w:t xml:space="preserve">. </w:t>
      </w:r>
    </w:p>
    <w:p w14:paraId="1CC84C9E" w14:textId="19C7A470" w:rsidR="00141A5C" w:rsidRPr="004849FC" w:rsidRDefault="00A54DAB" w:rsidP="004849FC">
      <w:pPr>
        <w:pStyle w:val="ListParagraph"/>
        <w:numPr>
          <w:ilvl w:val="0"/>
          <w:numId w:val="39"/>
        </w:numPr>
        <w:spacing w:after="120" w:line="276" w:lineRule="auto"/>
        <w:ind w:left="567" w:hanging="567"/>
        <w:jc w:val="both"/>
        <w:rPr>
          <w:rFonts w:cs="Arial"/>
        </w:rPr>
      </w:pPr>
      <w:r>
        <w:rPr>
          <w:rFonts w:cs="Arial"/>
        </w:rPr>
        <w:t xml:space="preserve">Qualitative feedback on surveys will be used in the monthly BP meetings to drive </w:t>
      </w:r>
      <w:r w:rsidR="00D076AB">
        <w:rPr>
          <w:rFonts w:cs="Arial"/>
        </w:rPr>
        <w:t>further improvements on service delivery</w:t>
      </w:r>
      <w:r w:rsidR="00A15070">
        <w:rPr>
          <w:rFonts w:cs="Arial"/>
        </w:rPr>
        <w:t xml:space="preserve"> and will continue to be shared in the complaint panel meetings to seek their recommendations.</w:t>
      </w:r>
    </w:p>
    <w:p w14:paraId="243C0AB5" w14:textId="5F10A539" w:rsidR="00141A5C" w:rsidRDefault="00141A5C" w:rsidP="004849FC">
      <w:pPr>
        <w:pStyle w:val="ListParagraph"/>
        <w:numPr>
          <w:ilvl w:val="0"/>
          <w:numId w:val="39"/>
        </w:numPr>
        <w:spacing w:after="120" w:line="276" w:lineRule="auto"/>
        <w:ind w:left="567" w:hanging="567"/>
        <w:jc w:val="both"/>
        <w:rPr>
          <w:rFonts w:cs="Arial"/>
        </w:rPr>
      </w:pPr>
      <w:r w:rsidRPr="004F0161">
        <w:rPr>
          <w:rFonts w:cs="Arial"/>
        </w:rPr>
        <w:t xml:space="preserve">Satisfaction scores </w:t>
      </w:r>
      <w:r w:rsidR="00887D11">
        <w:rPr>
          <w:rFonts w:cs="Arial"/>
        </w:rPr>
        <w:t xml:space="preserve">for </w:t>
      </w:r>
      <w:r w:rsidR="00A15070">
        <w:rPr>
          <w:rFonts w:cs="Arial"/>
        </w:rPr>
        <w:t>24/25</w:t>
      </w:r>
      <w:r w:rsidR="00887D11">
        <w:rPr>
          <w:rFonts w:cs="Arial"/>
        </w:rPr>
        <w:t xml:space="preserve"> </w:t>
      </w:r>
      <w:r w:rsidRPr="004F0161">
        <w:rPr>
          <w:rFonts w:cs="Arial"/>
        </w:rPr>
        <w:t xml:space="preserve">against key complaints surveying metrics </w:t>
      </w:r>
      <w:r w:rsidR="00887D11">
        <w:rPr>
          <w:rFonts w:cs="Arial"/>
        </w:rPr>
        <w:t xml:space="preserve">for comparison with </w:t>
      </w:r>
      <w:r w:rsidR="00A15070">
        <w:rPr>
          <w:rFonts w:cs="Arial"/>
        </w:rPr>
        <w:t>23/24</w:t>
      </w:r>
      <w:r w:rsidRPr="004F0161">
        <w:rPr>
          <w:rFonts w:cs="Arial"/>
        </w:rPr>
        <w:t xml:space="preserve"> can be seen below</w:t>
      </w:r>
      <w:r w:rsidR="008D2491">
        <w:rPr>
          <w:rFonts w:cs="Arial"/>
        </w:rPr>
        <w:t xml:space="preserve">. </w:t>
      </w:r>
    </w:p>
    <w:p w14:paraId="41CF96EC" w14:textId="77777777" w:rsidR="008D2491" w:rsidRDefault="008D2491" w:rsidP="008D2491">
      <w:pPr>
        <w:spacing w:after="120" w:line="276" w:lineRule="auto"/>
        <w:jc w:val="both"/>
        <w:rPr>
          <w:rFonts w:cs="Arial"/>
        </w:rPr>
      </w:pPr>
    </w:p>
    <w:p w14:paraId="716C8DB1" w14:textId="336E0597" w:rsidR="00141A5C" w:rsidRPr="004F0161" w:rsidRDefault="00BD7402" w:rsidP="00533426">
      <w:pPr>
        <w:spacing w:after="120" w:line="276" w:lineRule="auto"/>
        <w:jc w:val="both"/>
        <w:rPr>
          <w:rFonts w:cs="Arial"/>
        </w:rPr>
      </w:pPr>
      <w:r w:rsidRPr="00BD7402">
        <w:rPr>
          <w:rFonts w:cs="Arial"/>
          <w:noProof/>
        </w:rPr>
        <w:lastRenderedPageBreak/>
        <w:drawing>
          <wp:inline distT="0" distB="0" distL="0" distR="0" wp14:anchorId="1ED93F42" wp14:editId="32D01E11">
            <wp:extent cx="5731510" cy="3417570"/>
            <wp:effectExtent l="0" t="0" r="2540" b="0"/>
            <wp:docPr id="1699485398" name="Picture 1" descr="A graph of numbers and a number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485398" name="Picture 1" descr="A graph of numbers and a number of people&#10;&#10;AI-generated content may be incorrect."/>
                    <pic:cNvPicPr/>
                  </pic:nvPicPr>
                  <pic:blipFill>
                    <a:blip r:embed="rId13"/>
                    <a:stretch>
                      <a:fillRect/>
                    </a:stretch>
                  </pic:blipFill>
                  <pic:spPr>
                    <a:xfrm>
                      <a:off x="0" y="0"/>
                      <a:ext cx="5731510" cy="3417570"/>
                    </a:xfrm>
                    <a:prstGeom prst="rect">
                      <a:avLst/>
                    </a:prstGeom>
                  </pic:spPr>
                </pic:pic>
              </a:graphicData>
            </a:graphic>
          </wp:inline>
        </w:drawing>
      </w:r>
    </w:p>
    <w:p w14:paraId="6C84A893" w14:textId="77777777" w:rsidR="00141A5C" w:rsidRDefault="00141A5C" w:rsidP="00E42021">
      <w:pPr>
        <w:pBdr>
          <w:bottom w:val="single" w:sz="6" w:space="1" w:color="auto"/>
        </w:pBdr>
        <w:spacing w:after="120" w:line="276" w:lineRule="auto"/>
        <w:jc w:val="both"/>
        <w:rPr>
          <w:rFonts w:cs="Arial"/>
          <w:b/>
          <w:bCs/>
        </w:rPr>
      </w:pPr>
      <w:r w:rsidRPr="004F0161">
        <w:rPr>
          <w:rFonts w:cs="Arial"/>
          <w:b/>
          <w:bCs/>
        </w:rPr>
        <w:t>Trend Analysis</w:t>
      </w:r>
    </w:p>
    <w:p w14:paraId="659B9F46" w14:textId="0D5ABA3C" w:rsidR="00141A5C" w:rsidRPr="00E42021" w:rsidRDefault="008655FA" w:rsidP="00E42021">
      <w:pPr>
        <w:spacing w:after="120" w:line="276" w:lineRule="auto"/>
        <w:ind w:left="567" w:hanging="567"/>
        <w:jc w:val="both"/>
        <w:rPr>
          <w:rFonts w:cs="Arial"/>
          <w:u w:val="single"/>
        </w:rPr>
      </w:pPr>
      <w:r>
        <w:rPr>
          <w:rFonts w:cs="Arial"/>
          <w:u w:val="single"/>
        </w:rPr>
        <w:t>Age</w:t>
      </w:r>
    </w:p>
    <w:p w14:paraId="3A8F46E1" w14:textId="216E6410" w:rsidR="00141A5C" w:rsidRDefault="008655FA" w:rsidP="00E42021">
      <w:pPr>
        <w:pStyle w:val="ListParagraph"/>
        <w:numPr>
          <w:ilvl w:val="0"/>
          <w:numId w:val="39"/>
        </w:numPr>
        <w:spacing w:after="120" w:line="276" w:lineRule="auto"/>
        <w:ind w:left="567" w:hanging="567"/>
        <w:jc w:val="both"/>
        <w:rPr>
          <w:rFonts w:cs="Arial"/>
        </w:rPr>
      </w:pPr>
      <w:r>
        <w:rPr>
          <w:rFonts w:cs="Arial"/>
        </w:rPr>
        <w:t xml:space="preserve">EDI analysis of 22/23 &amp; 23/24 </w:t>
      </w:r>
      <w:r w:rsidR="000C5651">
        <w:rPr>
          <w:rFonts w:cs="Arial"/>
        </w:rPr>
        <w:t xml:space="preserve">complainants indicated </w:t>
      </w:r>
      <w:r w:rsidR="007D5A2E">
        <w:rPr>
          <w:rFonts w:cs="Arial"/>
        </w:rPr>
        <w:t>a 36% drop in</w:t>
      </w:r>
      <w:r w:rsidR="000C5651">
        <w:rPr>
          <w:rFonts w:cs="Arial"/>
        </w:rPr>
        <w:t xml:space="preserve"> customers 6</w:t>
      </w:r>
      <w:r w:rsidR="00841F6D">
        <w:rPr>
          <w:rFonts w:cs="Arial"/>
        </w:rPr>
        <w:t>5</w:t>
      </w:r>
      <w:r w:rsidR="000C5651">
        <w:rPr>
          <w:rFonts w:cs="Arial"/>
        </w:rPr>
        <w:t xml:space="preserve">+ </w:t>
      </w:r>
      <w:r w:rsidR="007D5A2E">
        <w:rPr>
          <w:rFonts w:cs="Arial"/>
        </w:rPr>
        <w:t xml:space="preserve">accessing the complaints process. Whilst there isn’t sufficient data to understand why this is happening, the complaint panel </w:t>
      </w:r>
      <w:r w:rsidR="00C651C9">
        <w:rPr>
          <w:rFonts w:cs="Arial"/>
        </w:rPr>
        <w:t xml:space="preserve">shared an update to all customers via the customer magazine on how to access the complaints process and what customers can expect. </w:t>
      </w:r>
      <w:r w:rsidR="007D5A2E">
        <w:rPr>
          <w:rFonts w:cs="Arial"/>
        </w:rPr>
        <w:t xml:space="preserve"> </w:t>
      </w:r>
    </w:p>
    <w:p w14:paraId="6B1A436A" w14:textId="4044DD40" w:rsidR="003E32FD" w:rsidRPr="000220BF" w:rsidRDefault="00C651C9" w:rsidP="003E32FD">
      <w:pPr>
        <w:pStyle w:val="ListParagraph"/>
        <w:numPr>
          <w:ilvl w:val="0"/>
          <w:numId w:val="39"/>
        </w:numPr>
        <w:spacing w:after="120" w:line="276" w:lineRule="auto"/>
        <w:ind w:left="567" w:hanging="567"/>
        <w:jc w:val="both"/>
        <w:rPr>
          <w:rFonts w:cs="Arial"/>
        </w:rPr>
      </w:pPr>
      <w:r>
        <w:rPr>
          <w:rFonts w:cs="Arial"/>
        </w:rPr>
        <w:t xml:space="preserve">The panel has also </w:t>
      </w:r>
      <w:r w:rsidR="000A0322">
        <w:rPr>
          <w:rFonts w:cs="Arial"/>
        </w:rPr>
        <w:t xml:space="preserve">recommended a re-design and update of the complaint handbook that was previously sent to all customers homes with the introduction of the handling code. This is to ensure that customer who may be in the 65+ demographic and </w:t>
      </w:r>
      <w:r w:rsidR="000220BF">
        <w:rPr>
          <w:rFonts w:cs="Arial"/>
        </w:rPr>
        <w:t>who aren’t accessing LHP via digital methods, have guidance on accessing the process.</w:t>
      </w:r>
    </w:p>
    <w:p w14:paraId="00766462" w14:textId="40211C0B" w:rsidR="003E32FD" w:rsidRPr="003E32FD" w:rsidRDefault="003E32FD" w:rsidP="003E32FD">
      <w:pPr>
        <w:pBdr>
          <w:bottom w:val="single" w:sz="4" w:space="1" w:color="auto"/>
        </w:pBdr>
        <w:tabs>
          <w:tab w:val="left" w:pos="567"/>
        </w:tabs>
        <w:spacing w:after="120" w:line="276" w:lineRule="auto"/>
        <w:jc w:val="both"/>
        <w:rPr>
          <w:rFonts w:cs="Arial"/>
          <w:b/>
          <w:bCs/>
        </w:rPr>
      </w:pPr>
      <w:r>
        <w:rPr>
          <w:rFonts w:cs="Arial"/>
          <w:b/>
          <w:bCs/>
        </w:rPr>
        <w:t>Ombudsman Determinations</w:t>
      </w:r>
    </w:p>
    <w:p w14:paraId="1004C6EF" w14:textId="6AF4D592" w:rsidR="003E32FD" w:rsidRDefault="003E32FD" w:rsidP="003E32FD">
      <w:pPr>
        <w:pStyle w:val="ListParagraph"/>
        <w:numPr>
          <w:ilvl w:val="0"/>
          <w:numId w:val="39"/>
        </w:numPr>
        <w:spacing w:after="120" w:line="276" w:lineRule="auto"/>
        <w:ind w:left="567" w:hanging="567"/>
        <w:jc w:val="both"/>
        <w:rPr>
          <w:rFonts w:cs="Arial"/>
        </w:rPr>
      </w:pPr>
      <w:r>
        <w:rPr>
          <w:rFonts w:cs="Arial"/>
        </w:rPr>
        <w:t>The Housing Ombudsman Service (HOS) decide which complaints qualify to be investigated as a case by them. Below are determinations have received from the Ombudsman in 202</w:t>
      </w:r>
      <w:r w:rsidR="000220BF">
        <w:rPr>
          <w:rFonts w:cs="Arial"/>
        </w:rPr>
        <w:t>4/25</w:t>
      </w:r>
      <w:r>
        <w:rPr>
          <w:rFonts w:cs="Arial"/>
        </w:rPr>
        <w:t xml:space="preserve">: </w:t>
      </w:r>
    </w:p>
    <w:tbl>
      <w:tblPr>
        <w:tblStyle w:val="TableGrid"/>
        <w:tblW w:w="6289" w:type="pct"/>
        <w:tblInd w:w="-998" w:type="dxa"/>
        <w:tblLook w:val="04A0" w:firstRow="1" w:lastRow="0" w:firstColumn="1" w:lastColumn="0" w:noHBand="0" w:noVBand="1"/>
      </w:tblPr>
      <w:tblGrid>
        <w:gridCol w:w="1562"/>
        <w:gridCol w:w="2408"/>
        <w:gridCol w:w="2552"/>
        <w:gridCol w:w="2409"/>
        <w:gridCol w:w="2409"/>
      </w:tblGrid>
      <w:tr w:rsidR="00447F7C" w14:paraId="6351EB8B" w14:textId="77777777" w:rsidTr="00447F7C">
        <w:tc>
          <w:tcPr>
            <w:tcW w:w="689" w:type="pct"/>
          </w:tcPr>
          <w:p w14:paraId="184C9C5E" w14:textId="0338DCBD" w:rsidR="00447F7C" w:rsidRPr="00447F7C" w:rsidRDefault="00447F7C" w:rsidP="003E32FD">
            <w:pPr>
              <w:spacing w:after="120" w:line="276" w:lineRule="auto"/>
              <w:jc w:val="center"/>
              <w:rPr>
                <w:rFonts w:cs="Arial"/>
                <w:b/>
                <w:bCs/>
                <w:sz w:val="20"/>
                <w:szCs w:val="20"/>
              </w:rPr>
            </w:pPr>
            <w:r w:rsidRPr="00447F7C">
              <w:rPr>
                <w:rFonts w:cs="Arial"/>
                <w:b/>
                <w:bCs/>
                <w:sz w:val="20"/>
                <w:szCs w:val="20"/>
              </w:rPr>
              <w:t>Determination Date</w:t>
            </w:r>
          </w:p>
        </w:tc>
        <w:tc>
          <w:tcPr>
            <w:tcW w:w="1062" w:type="pct"/>
          </w:tcPr>
          <w:p w14:paraId="4E177CE4" w14:textId="34FC3B34" w:rsidR="00447F7C" w:rsidRPr="00447F7C" w:rsidRDefault="00447F7C" w:rsidP="003E32FD">
            <w:pPr>
              <w:spacing w:after="120" w:line="276" w:lineRule="auto"/>
              <w:jc w:val="center"/>
              <w:rPr>
                <w:rFonts w:cs="Arial"/>
                <w:b/>
                <w:bCs/>
                <w:sz w:val="20"/>
                <w:szCs w:val="20"/>
              </w:rPr>
            </w:pPr>
            <w:r w:rsidRPr="00447F7C">
              <w:rPr>
                <w:rFonts w:cs="Arial"/>
                <w:b/>
                <w:bCs/>
                <w:sz w:val="20"/>
                <w:szCs w:val="20"/>
              </w:rPr>
              <w:t>Investigation remit</w:t>
            </w:r>
          </w:p>
        </w:tc>
        <w:tc>
          <w:tcPr>
            <w:tcW w:w="1125" w:type="pct"/>
          </w:tcPr>
          <w:p w14:paraId="761F2040" w14:textId="2F12110A" w:rsidR="00447F7C" w:rsidRPr="00447F7C" w:rsidRDefault="00447F7C" w:rsidP="003E32FD">
            <w:pPr>
              <w:spacing w:after="120" w:line="276" w:lineRule="auto"/>
              <w:jc w:val="center"/>
              <w:rPr>
                <w:rFonts w:cs="Arial"/>
                <w:b/>
                <w:bCs/>
                <w:sz w:val="20"/>
                <w:szCs w:val="20"/>
              </w:rPr>
            </w:pPr>
            <w:r w:rsidRPr="00447F7C">
              <w:rPr>
                <w:rFonts w:cs="Arial"/>
                <w:b/>
                <w:bCs/>
                <w:sz w:val="20"/>
                <w:szCs w:val="20"/>
              </w:rPr>
              <w:t>Outcome</w:t>
            </w:r>
          </w:p>
        </w:tc>
        <w:tc>
          <w:tcPr>
            <w:tcW w:w="1062" w:type="pct"/>
          </w:tcPr>
          <w:p w14:paraId="3252B66A" w14:textId="48E01258" w:rsidR="00447F7C" w:rsidRPr="00447F7C" w:rsidRDefault="00447F7C" w:rsidP="003E32FD">
            <w:pPr>
              <w:spacing w:after="120" w:line="276" w:lineRule="auto"/>
              <w:jc w:val="center"/>
              <w:rPr>
                <w:rFonts w:cs="Arial"/>
                <w:b/>
                <w:bCs/>
                <w:sz w:val="20"/>
                <w:szCs w:val="20"/>
              </w:rPr>
            </w:pPr>
            <w:r>
              <w:rPr>
                <w:rFonts w:cs="Arial"/>
                <w:b/>
                <w:bCs/>
                <w:sz w:val="20"/>
                <w:szCs w:val="20"/>
              </w:rPr>
              <w:t>Orders</w:t>
            </w:r>
          </w:p>
        </w:tc>
        <w:tc>
          <w:tcPr>
            <w:tcW w:w="1062" w:type="pct"/>
          </w:tcPr>
          <w:p w14:paraId="232526E5" w14:textId="5A921C40" w:rsidR="00447F7C" w:rsidRPr="00447F7C" w:rsidRDefault="00447F7C" w:rsidP="003E32FD">
            <w:pPr>
              <w:spacing w:after="120" w:line="276" w:lineRule="auto"/>
              <w:jc w:val="center"/>
              <w:rPr>
                <w:rFonts w:cs="Arial"/>
                <w:b/>
                <w:bCs/>
                <w:sz w:val="20"/>
                <w:szCs w:val="20"/>
              </w:rPr>
            </w:pPr>
            <w:r w:rsidRPr="00447F7C">
              <w:rPr>
                <w:rFonts w:cs="Arial"/>
                <w:b/>
                <w:bCs/>
                <w:sz w:val="20"/>
                <w:szCs w:val="20"/>
              </w:rPr>
              <w:t>Comment</w:t>
            </w:r>
          </w:p>
        </w:tc>
      </w:tr>
      <w:tr w:rsidR="00447F7C" w14:paraId="66AA5640" w14:textId="77777777" w:rsidTr="00447F7C">
        <w:tc>
          <w:tcPr>
            <w:tcW w:w="689" w:type="pct"/>
          </w:tcPr>
          <w:p w14:paraId="58C610DB" w14:textId="3C8A0E76" w:rsidR="00447F7C" w:rsidRPr="00447F7C" w:rsidRDefault="00540C0D" w:rsidP="003E32FD">
            <w:pPr>
              <w:spacing w:after="120" w:line="276" w:lineRule="auto"/>
              <w:jc w:val="both"/>
              <w:rPr>
                <w:rFonts w:cs="Arial"/>
                <w:sz w:val="20"/>
                <w:szCs w:val="20"/>
              </w:rPr>
            </w:pPr>
            <w:r>
              <w:rPr>
                <w:rFonts w:cs="Arial"/>
                <w:sz w:val="20"/>
                <w:szCs w:val="20"/>
              </w:rPr>
              <w:t>July 2024</w:t>
            </w:r>
          </w:p>
        </w:tc>
        <w:tc>
          <w:tcPr>
            <w:tcW w:w="1062" w:type="pct"/>
          </w:tcPr>
          <w:p w14:paraId="418187D6" w14:textId="7D154196" w:rsidR="00447F7C" w:rsidRPr="00447F7C" w:rsidRDefault="00933B6A" w:rsidP="003E32FD">
            <w:pPr>
              <w:spacing w:after="120" w:line="276" w:lineRule="auto"/>
              <w:jc w:val="both"/>
              <w:rPr>
                <w:rFonts w:cs="Arial"/>
                <w:sz w:val="20"/>
                <w:szCs w:val="20"/>
              </w:rPr>
            </w:pPr>
            <w:r>
              <w:rPr>
                <w:rFonts w:cs="Arial"/>
                <w:sz w:val="20"/>
                <w:szCs w:val="20"/>
              </w:rPr>
              <w:t xml:space="preserve">Landlords handling of D&amp;M reports, bathroom leak, </w:t>
            </w:r>
            <w:r w:rsidR="00135B50">
              <w:rPr>
                <w:rFonts w:cs="Arial"/>
                <w:sz w:val="20"/>
                <w:szCs w:val="20"/>
              </w:rPr>
              <w:t>roof, kitchen and windows replacement.</w:t>
            </w:r>
          </w:p>
        </w:tc>
        <w:tc>
          <w:tcPr>
            <w:tcW w:w="1125" w:type="pct"/>
          </w:tcPr>
          <w:p w14:paraId="2144F443" w14:textId="5A643FF6" w:rsidR="00447F7C" w:rsidRPr="00447F7C" w:rsidRDefault="00447F7C" w:rsidP="003E32FD">
            <w:pPr>
              <w:spacing w:after="120" w:line="276" w:lineRule="auto"/>
              <w:jc w:val="both"/>
              <w:rPr>
                <w:rFonts w:cs="Arial"/>
                <w:sz w:val="20"/>
                <w:szCs w:val="20"/>
              </w:rPr>
            </w:pPr>
            <w:r w:rsidRPr="00447F7C">
              <w:rPr>
                <w:rFonts w:cs="Arial"/>
                <w:sz w:val="20"/>
                <w:szCs w:val="20"/>
              </w:rPr>
              <w:t xml:space="preserve">In accordance with paragraph 52 of the Housing Ombudsman Scheme, there was service failure in respect of the landlords handling of </w:t>
            </w:r>
            <w:r w:rsidR="00AE5155">
              <w:rPr>
                <w:rFonts w:cs="Arial"/>
                <w:sz w:val="20"/>
                <w:szCs w:val="20"/>
              </w:rPr>
              <w:t xml:space="preserve">residents report of D&amp;M. </w:t>
            </w:r>
            <w:r w:rsidR="00AE5155">
              <w:rPr>
                <w:rFonts w:cs="Arial"/>
                <w:sz w:val="20"/>
                <w:szCs w:val="20"/>
              </w:rPr>
              <w:lastRenderedPageBreak/>
              <w:t xml:space="preserve">Maladministration of landlords handling of residents report of bathroom leak. </w:t>
            </w:r>
            <w:r w:rsidR="001D51EA">
              <w:rPr>
                <w:rFonts w:cs="Arial"/>
                <w:sz w:val="20"/>
                <w:szCs w:val="20"/>
              </w:rPr>
              <w:t xml:space="preserve">Service failure in </w:t>
            </w:r>
            <w:r w:rsidR="00205AC0">
              <w:rPr>
                <w:rFonts w:cs="Arial"/>
                <w:sz w:val="20"/>
                <w:szCs w:val="20"/>
              </w:rPr>
              <w:t>landlords’</w:t>
            </w:r>
            <w:r w:rsidR="001D51EA">
              <w:rPr>
                <w:rFonts w:cs="Arial"/>
                <w:sz w:val="20"/>
                <w:szCs w:val="20"/>
              </w:rPr>
              <w:t xml:space="preserve"> response to residents requests for replacement roof, kitchen and windows.</w:t>
            </w:r>
            <w:r w:rsidR="001D51EA">
              <w:rPr>
                <w:rFonts w:cs="Arial"/>
                <w:sz w:val="20"/>
                <w:szCs w:val="20"/>
              </w:rPr>
              <w:br/>
            </w:r>
            <w:r w:rsidR="00EC06D2">
              <w:rPr>
                <w:rFonts w:cs="Arial"/>
                <w:sz w:val="20"/>
                <w:szCs w:val="20"/>
              </w:rPr>
              <w:t>No maladministration found in associated complaint handling.</w:t>
            </w:r>
          </w:p>
        </w:tc>
        <w:tc>
          <w:tcPr>
            <w:tcW w:w="1062" w:type="pct"/>
          </w:tcPr>
          <w:p w14:paraId="16CCADFB" w14:textId="3A8C98F3" w:rsidR="00447F7C" w:rsidRPr="00447F7C" w:rsidRDefault="00EC06D2" w:rsidP="003E32FD">
            <w:pPr>
              <w:spacing w:after="120" w:line="276" w:lineRule="auto"/>
              <w:jc w:val="both"/>
              <w:rPr>
                <w:rFonts w:cs="Arial"/>
                <w:sz w:val="20"/>
                <w:szCs w:val="20"/>
              </w:rPr>
            </w:pPr>
            <w:r>
              <w:rPr>
                <w:rFonts w:cs="Arial"/>
                <w:sz w:val="20"/>
                <w:szCs w:val="20"/>
              </w:rPr>
              <w:lastRenderedPageBreak/>
              <w:t>Landlord to pay total of £200 compensation</w:t>
            </w:r>
            <w:r w:rsidR="00E475B2">
              <w:rPr>
                <w:rFonts w:cs="Arial"/>
                <w:sz w:val="20"/>
                <w:szCs w:val="20"/>
              </w:rPr>
              <w:t>, written apology regarding poor communication and failing to manage expectation</w:t>
            </w:r>
            <w:r w:rsidR="00205AC0">
              <w:rPr>
                <w:rFonts w:cs="Arial"/>
                <w:sz w:val="20"/>
                <w:szCs w:val="20"/>
              </w:rPr>
              <w:t xml:space="preserve">s regarding </w:t>
            </w:r>
            <w:r w:rsidR="00205AC0">
              <w:rPr>
                <w:rFonts w:cs="Arial"/>
                <w:sz w:val="20"/>
                <w:szCs w:val="20"/>
              </w:rPr>
              <w:lastRenderedPageBreak/>
              <w:t xml:space="preserve">roof and window replacements. </w:t>
            </w:r>
          </w:p>
        </w:tc>
        <w:tc>
          <w:tcPr>
            <w:tcW w:w="1062" w:type="pct"/>
          </w:tcPr>
          <w:p w14:paraId="6D5B67CF" w14:textId="489C8E91" w:rsidR="00447F7C" w:rsidRPr="00447F7C" w:rsidRDefault="00447F7C" w:rsidP="003E32FD">
            <w:pPr>
              <w:spacing w:after="120" w:line="276" w:lineRule="auto"/>
              <w:jc w:val="both"/>
              <w:rPr>
                <w:rFonts w:cs="Arial"/>
                <w:sz w:val="20"/>
                <w:szCs w:val="20"/>
              </w:rPr>
            </w:pPr>
            <w:r>
              <w:rPr>
                <w:rFonts w:cs="Arial"/>
                <w:sz w:val="20"/>
                <w:szCs w:val="20"/>
              </w:rPr>
              <w:lastRenderedPageBreak/>
              <w:t xml:space="preserve">Letter of apology </w:t>
            </w:r>
            <w:r w:rsidR="00205AC0">
              <w:rPr>
                <w:rFonts w:cs="Arial"/>
                <w:sz w:val="20"/>
                <w:szCs w:val="20"/>
              </w:rPr>
              <w:t xml:space="preserve">and compensation offer </w:t>
            </w:r>
            <w:r>
              <w:rPr>
                <w:rFonts w:cs="Arial"/>
                <w:sz w:val="20"/>
                <w:szCs w:val="20"/>
              </w:rPr>
              <w:t>sent</w:t>
            </w:r>
            <w:r w:rsidR="00F00744">
              <w:rPr>
                <w:rFonts w:cs="Arial"/>
                <w:sz w:val="20"/>
                <w:szCs w:val="20"/>
              </w:rPr>
              <w:t xml:space="preserve"> </w:t>
            </w:r>
            <w:r>
              <w:rPr>
                <w:rFonts w:cs="Arial"/>
                <w:sz w:val="20"/>
                <w:szCs w:val="20"/>
              </w:rPr>
              <w:t xml:space="preserve">within four-week deadline. Copy provided to the HOS as evidence </w:t>
            </w:r>
            <w:r>
              <w:rPr>
                <w:rFonts w:cs="Arial"/>
                <w:sz w:val="20"/>
                <w:szCs w:val="20"/>
              </w:rPr>
              <w:lastRenderedPageBreak/>
              <w:t xml:space="preserve">of compliance of case determination. </w:t>
            </w:r>
          </w:p>
        </w:tc>
      </w:tr>
      <w:tr w:rsidR="00447F7C" w14:paraId="7A8C20BF" w14:textId="77777777" w:rsidTr="00447F7C">
        <w:tc>
          <w:tcPr>
            <w:tcW w:w="689" w:type="pct"/>
          </w:tcPr>
          <w:p w14:paraId="2FBBBE60" w14:textId="2DEBE113" w:rsidR="00447F7C" w:rsidRPr="00447F7C" w:rsidRDefault="005A34CB" w:rsidP="003E32FD">
            <w:pPr>
              <w:spacing w:after="120" w:line="276" w:lineRule="auto"/>
              <w:jc w:val="both"/>
              <w:rPr>
                <w:rFonts w:cs="Arial"/>
                <w:sz w:val="20"/>
                <w:szCs w:val="20"/>
              </w:rPr>
            </w:pPr>
            <w:r>
              <w:rPr>
                <w:rFonts w:cs="Arial"/>
                <w:sz w:val="20"/>
                <w:szCs w:val="20"/>
              </w:rPr>
              <w:lastRenderedPageBreak/>
              <w:t>December 2024</w:t>
            </w:r>
          </w:p>
        </w:tc>
        <w:tc>
          <w:tcPr>
            <w:tcW w:w="1062" w:type="pct"/>
          </w:tcPr>
          <w:p w14:paraId="50833CA5" w14:textId="2B27E6B5" w:rsidR="005109CE" w:rsidRPr="00447F7C" w:rsidRDefault="00A44E0F" w:rsidP="003E32FD">
            <w:pPr>
              <w:spacing w:after="120" w:line="276" w:lineRule="auto"/>
              <w:jc w:val="both"/>
              <w:rPr>
                <w:rFonts w:cs="Arial"/>
                <w:sz w:val="20"/>
                <w:szCs w:val="20"/>
              </w:rPr>
            </w:pPr>
            <w:r>
              <w:rPr>
                <w:rFonts w:cs="Arial"/>
                <w:sz w:val="20"/>
                <w:szCs w:val="20"/>
              </w:rPr>
              <w:t>Landlords staff conduct during repair for radiator leak. Damage caused by the leak and the associated complaint.</w:t>
            </w:r>
          </w:p>
        </w:tc>
        <w:tc>
          <w:tcPr>
            <w:tcW w:w="1125" w:type="pct"/>
          </w:tcPr>
          <w:p w14:paraId="55BA62A0" w14:textId="5F8FCF74" w:rsidR="005109CE" w:rsidRPr="00447F7C" w:rsidRDefault="005109CE" w:rsidP="00A44E0F">
            <w:pPr>
              <w:spacing w:after="120" w:line="276" w:lineRule="auto"/>
              <w:jc w:val="both"/>
              <w:rPr>
                <w:rFonts w:cs="Arial"/>
                <w:sz w:val="20"/>
                <w:szCs w:val="20"/>
              </w:rPr>
            </w:pPr>
            <w:r>
              <w:rPr>
                <w:rFonts w:cs="Arial"/>
                <w:sz w:val="20"/>
                <w:szCs w:val="20"/>
              </w:rPr>
              <w:t>In accordance with paragraph 52 of the HOS, t</w:t>
            </w:r>
            <w:r w:rsidR="00A44E0F">
              <w:rPr>
                <w:rFonts w:cs="Arial"/>
                <w:sz w:val="20"/>
                <w:szCs w:val="20"/>
              </w:rPr>
              <w:t>here was service failure in handling of staff conduct</w:t>
            </w:r>
            <w:r w:rsidR="002C4C3E">
              <w:rPr>
                <w:rFonts w:cs="Arial"/>
                <w:sz w:val="20"/>
                <w:szCs w:val="20"/>
              </w:rPr>
              <w:t xml:space="preserve"> report. Maladministration in landlords handling of residents reports of damage caused by the leak. Maladministration with associated complaint.</w:t>
            </w:r>
          </w:p>
        </w:tc>
        <w:tc>
          <w:tcPr>
            <w:tcW w:w="1062" w:type="pct"/>
          </w:tcPr>
          <w:p w14:paraId="09B72A33" w14:textId="2F7A51E3" w:rsidR="00447F7C" w:rsidRPr="00447F7C" w:rsidRDefault="002C4C3E" w:rsidP="003E32FD">
            <w:pPr>
              <w:spacing w:after="120" w:line="276" w:lineRule="auto"/>
              <w:jc w:val="both"/>
              <w:rPr>
                <w:rFonts w:cs="Arial"/>
                <w:sz w:val="20"/>
                <w:szCs w:val="20"/>
              </w:rPr>
            </w:pPr>
            <w:r>
              <w:rPr>
                <w:rFonts w:cs="Arial"/>
                <w:sz w:val="20"/>
                <w:szCs w:val="20"/>
              </w:rPr>
              <w:t xml:space="preserve">Senior manager to apologise to resident in writing and pay £500 compensation. Ordered to contact customer </w:t>
            </w:r>
            <w:r w:rsidR="00980C18">
              <w:rPr>
                <w:rFonts w:cs="Arial"/>
                <w:sz w:val="20"/>
                <w:szCs w:val="20"/>
              </w:rPr>
              <w:t>to arrange inspection of leak to make good any repairs.</w:t>
            </w:r>
          </w:p>
        </w:tc>
        <w:tc>
          <w:tcPr>
            <w:tcW w:w="1062" w:type="pct"/>
          </w:tcPr>
          <w:p w14:paraId="6A668869" w14:textId="2EEDCA7E" w:rsidR="00447F7C" w:rsidRPr="00447F7C" w:rsidRDefault="00980C18" w:rsidP="003E32FD">
            <w:pPr>
              <w:spacing w:after="120" w:line="276" w:lineRule="auto"/>
              <w:jc w:val="both"/>
              <w:rPr>
                <w:rFonts w:cs="Arial"/>
                <w:sz w:val="20"/>
                <w:szCs w:val="20"/>
              </w:rPr>
            </w:pPr>
            <w:r>
              <w:rPr>
                <w:rFonts w:cs="Arial"/>
                <w:sz w:val="20"/>
                <w:szCs w:val="20"/>
              </w:rPr>
              <w:t>Letter of apology and compensation offer sent to former resident within four-week deadline.</w:t>
            </w:r>
            <w:r w:rsidR="004067F5">
              <w:rPr>
                <w:rFonts w:cs="Arial"/>
                <w:sz w:val="20"/>
                <w:szCs w:val="20"/>
              </w:rPr>
              <w:t xml:space="preserve"> Customer refused access to the property and sent abusive letters in response.</w:t>
            </w:r>
            <w:r>
              <w:rPr>
                <w:rFonts w:cs="Arial"/>
                <w:sz w:val="20"/>
                <w:szCs w:val="20"/>
              </w:rPr>
              <w:t xml:space="preserve"> Copy provided to the HOS as evidence of compliance of case determination.</w:t>
            </w:r>
          </w:p>
        </w:tc>
      </w:tr>
      <w:tr w:rsidR="00447F7C" w14:paraId="6AFB762F" w14:textId="77777777" w:rsidTr="00447F7C">
        <w:tc>
          <w:tcPr>
            <w:tcW w:w="689" w:type="pct"/>
          </w:tcPr>
          <w:p w14:paraId="6CD14236" w14:textId="7D7BCA5C" w:rsidR="00447F7C" w:rsidRPr="00447F7C" w:rsidRDefault="00F6269A" w:rsidP="003E32FD">
            <w:pPr>
              <w:spacing w:after="120" w:line="276" w:lineRule="auto"/>
              <w:jc w:val="both"/>
              <w:rPr>
                <w:rFonts w:cs="Arial"/>
                <w:sz w:val="20"/>
                <w:szCs w:val="20"/>
              </w:rPr>
            </w:pPr>
            <w:r>
              <w:rPr>
                <w:rFonts w:cs="Arial"/>
                <w:sz w:val="20"/>
                <w:szCs w:val="20"/>
              </w:rPr>
              <w:t>February 2025</w:t>
            </w:r>
          </w:p>
        </w:tc>
        <w:tc>
          <w:tcPr>
            <w:tcW w:w="1062" w:type="pct"/>
          </w:tcPr>
          <w:p w14:paraId="32E5F127" w14:textId="77AFB2FC" w:rsidR="00447F7C" w:rsidRPr="00447F7C" w:rsidRDefault="003E34ED" w:rsidP="003E32FD">
            <w:pPr>
              <w:spacing w:after="120" w:line="276" w:lineRule="auto"/>
              <w:jc w:val="both"/>
              <w:rPr>
                <w:rFonts w:cs="Arial"/>
                <w:sz w:val="20"/>
                <w:szCs w:val="20"/>
              </w:rPr>
            </w:pPr>
            <w:r>
              <w:rPr>
                <w:rFonts w:cs="Arial"/>
                <w:sz w:val="20"/>
                <w:szCs w:val="20"/>
              </w:rPr>
              <w:t xml:space="preserve">Landlords handling of </w:t>
            </w:r>
            <w:r w:rsidR="00F6269A">
              <w:rPr>
                <w:rFonts w:cs="Arial"/>
                <w:sz w:val="20"/>
                <w:szCs w:val="20"/>
              </w:rPr>
              <w:t>repairs to bathroom and conduct of LHP’s contractors. The handling of subsequent complaint and compensation amount offered.</w:t>
            </w:r>
          </w:p>
        </w:tc>
        <w:tc>
          <w:tcPr>
            <w:tcW w:w="1125" w:type="pct"/>
          </w:tcPr>
          <w:p w14:paraId="3A612F6C" w14:textId="4017B745" w:rsidR="00447F7C" w:rsidRPr="00447F7C" w:rsidRDefault="003E34ED" w:rsidP="003E32FD">
            <w:pPr>
              <w:spacing w:after="120" w:line="276" w:lineRule="auto"/>
              <w:jc w:val="both"/>
              <w:rPr>
                <w:rFonts w:cs="Arial"/>
                <w:sz w:val="20"/>
                <w:szCs w:val="20"/>
              </w:rPr>
            </w:pPr>
            <w:r>
              <w:rPr>
                <w:rFonts w:cs="Arial"/>
                <w:sz w:val="20"/>
                <w:szCs w:val="20"/>
              </w:rPr>
              <w:t>In accordance with paragraph 5</w:t>
            </w:r>
            <w:r w:rsidR="00F6269A">
              <w:rPr>
                <w:rFonts w:cs="Arial"/>
                <w:sz w:val="20"/>
                <w:szCs w:val="20"/>
              </w:rPr>
              <w:t>3</w:t>
            </w:r>
            <w:r>
              <w:rPr>
                <w:rFonts w:cs="Arial"/>
                <w:sz w:val="20"/>
                <w:szCs w:val="20"/>
              </w:rPr>
              <w:t xml:space="preserve"> of the HOS, there </w:t>
            </w:r>
            <w:r w:rsidR="00542849">
              <w:rPr>
                <w:rFonts w:cs="Arial"/>
                <w:sz w:val="20"/>
                <w:szCs w:val="20"/>
              </w:rPr>
              <w:t>service failure by landlord in handling of residents reports of repairs</w:t>
            </w:r>
            <w:r>
              <w:rPr>
                <w:rFonts w:cs="Arial"/>
                <w:sz w:val="20"/>
                <w:szCs w:val="20"/>
              </w:rPr>
              <w:t>.</w:t>
            </w:r>
            <w:r w:rsidR="00542849">
              <w:rPr>
                <w:rFonts w:cs="Arial"/>
                <w:sz w:val="20"/>
                <w:szCs w:val="20"/>
              </w:rPr>
              <w:t xml:space="preserve"> In accordance with paragraph 52 of the HOS, there was maladministration in the landlords complaint handling.</w:t>
            </w:r>
          </w:p>
        </w:tc>
        <w:tc>
          <w:tcPr>
            <w:tcW w:w="1062" w:type="pct"/>
          </w:tcPr>
          <w:p w14:paraId="27DFC3B3" w14:textId="5B5B5189" w:rsidR="00447F7C" w:rsidRPr="00447F7C" w:rsidRDefault="00AD4560" w:rsidP="003E32FD">
            <w:pPr>
              <w:spacing w:after="120" w:line="276" w:lineRule="auto"/>
              <w:jc w:val="both"/>
              <w:rPr>
                <w:rFonts w:cs="Arial"/>
                <w:sz w:val="20"/>
                <w:szCs w:val="20"/>
              </w:rPr>
            </w:pPr>
            <w:r>
              <w:rPr>
                <w:rFonts w:cs="Arial"/>
                <w:sz w:val="20"/>
                <w:szCs w:val="20"/>
              </w:rPr>
              <w:t>Written apology within 4 weeks</w:t>
            </w:r>
            <w:r w:rsidR="003E34ED">
              <w:rPr>
                <w:rFonts w:cs="Arial"/>
                <w:sz w:val="20"/>
                <w:szCs w:val="20"/>
              </w:rPr>
              <w:t>.</w:t>
            </w:r>
            <w:r>
              <w:rPr>
                <w:rFonts w:cs="Arial"/>
                <w:sz w:val="20"/>
                <w:szCs w:val="20"/>
              </w:rPr>
              <w:t xml:space="preserve"> Offering compensation of £200 plus appropriate offer for </w:t>
            </w:r>
            <w:r w:rsidR="000B65B1">
              <w:rPr>
                <w:rFonts w:cs="Arial"/>
                <w:sz w:val="20"/>
                <w:szCs w:val="20"/>
              </w:rPr>
              <w:t>personal items damaged.</w:t>
            </w:r>
          </w:p>
        </w:tc>
        <w:tc>
          <w:tcPr>
            <w:tcW w:w="1062" w:type="pct"/>
          </w:tcPr>
          <w:p w14:paraId="3D651C4C" w14:textId="0AEC9CEB" w:rsidR="00447F7C" w:rsidRPr="00447F7C" w:rsidRDefault="000B65B1" w:rsidP="003E32FD">
            <w:pPr>
              <w:spacing w:after="120" w:line="276" w:lineRule="auto"/>
              <w:jc w:val="both"/>
              <w:rPr>
                <w:rFonts w:cs="Arial"/>
                <w:sz w:val="20"/>
                <w:szCs w:val="20"/>
              </w:rPr>
            </w:pPr>
            <w:r>
              <w:rPr>
                <w:rFonts w:cs="Arial"/>
                <w:sz w:val="20"/>
                <w:szCs w:val="20"/>
              </w:rPr>
              <w:t xml:space="preserve">Letter of apology and compensation offer sent </w:t>
            </w:r>
            <w:r w:rsidR="00F00744">
              <w:rPr>
                <w:rFonts w:cs="Arial"/>
                <w:sz w:val="20"/>
                <w:szCs w:val="20"/>
              </w:rPr>
              <w:t xml:space="preserve"> to former </w:t>
            </w:r>
            <w:r>
              <w:rPr>
                <w:rFonts w:cs="Arial"/>
                <w:sz w:val="20"/>
                <w:szCs w:val="20"/>
              </w:rPr>
              <w:t>resident within four-week deadline. Copy provided to the HOS as evidence of compliance of case determination.</w:t>
            </w:r>
          </w:p>
        </w:tc>
      </w:tr>
      <w:tr w:rsidR="003E34ED" w14:paraId="6D9C2B7A" w14:textId="77777777" w:rsidTr="00447F7C">
        <w:tc>
          <w:tcPr>
            <w:tcW w:w="689" w:type="pct"/>
          </w:tcPr>
          <w:p w14:paraId="4CE4E0BC" w14:textId="68C109FA" w:rsidR="003E34ED" w:rsidRDefault="00F127FE" w:rsidP="003E32FD">
            <w:pPr>
              <w:spacing w:after="120" w:line="276" w:lineRule="auto"/>
              <w:jc w:val="both"/>
              <w:rPr>
                <w:rFonts w:cs="Arial"/>
                <w:sz w:val="20"/>
                <w:szCs w:val="20"/>
              </w:rPr>
            </w:pPr>
            <w:r>
              <w:rPr>
                <w:rFonts w:cs="Arial"/>
                <w:sz w:val="20"/>
                <w:szCs w:val="20"/>
              </w:rPr>
              <w:t>March 202</w:t>
            </w:r>
            <w:r w:rsidR="001247BA">
              <w:rPr>
                <w:rFonts w:cs="Arial"/>
                <w:sz w:val="20"/>
                <w:szCs w:val="20"/>
              </w:rPr>
              <w:t>5</w:t>
            </w:r>
          </w:p>
        </w:tc>
        <w:tc>
          <w:tcPr>
            <w:tcW w:w="1062" w:type="pct"/>
          </w:tcPr>
          <w:p w14:paraId="038E5EDF" w14:textId="20CE863C" w:rsidR="003E34ED" w:rsidRDefault="00F42D61" w:rsidP="003E32FD">
            <w:pPr>
              <w:spacing w:after="120" w:line="276" w:lineRule="auto"/>
              <w:jc w:val="both"/>
              <w:rPr>
                <w:rFonts w:cs="Arial"/>
                <w:sz w:val="20"/>
                <w:szCs w:val="20"/>
              </w:rPr>
            </w:pPr>
            <w:r>
              <w:rPr>
                <w:rFonts w:cs="Arial"/>
                <w:sz w:val="20"/>
                <w:szCs w:val="20"/>
              </w:rPr>
              <w:t>The handling of customers RTB application and handling of subsequent complaint.</w:t>
            </w:r>
          </w:p>
        </w:tc>
        <w:tc>
          <w:tcPr>
            <w:tcW w:w="1125" w:type="pct"/>
          </w:tcPr>
          <w:p w14:paraId="655A75ED" w14:textId="5E104CE9" w:rsidR="00F42D61" w:rsidRDefault="003E34ED" w:rsidP="00F42D61">
            <w:pPr>
              <w:spacing w:after="120" w:line="276" w:lineRule="auto"/>
              <w:jc w:val="both"/>
              <w:rPr>
                <w:rFonts w:cs="Arial"/>
                <w:sz w:val="20"/>
                <w:szCs w:val="20"/>
              </w:rPr>
            </w:pPr>
            <w:r>
              <w:rPr>
                <w:rFonts w:cs="Arial"/>
                <w:sz w:val="20"/>
                <w:szCs w:val="20"/>
              </w:rPr>
              <w:t>In accordance with paragraph 5</w:t>
            </w:r>
            <w:r w:rsidR="00F42D61">
              <w:rPr>
                <w:rFonts w:cs="Arial"/>
                <w:sz w:val="20"/>
                <w:szCs w:val="20"/>
              </w:rPr>
              <w:t xml:space="preserve">3b of the scheme, the landlord offered </w:t>
            </w:r>
            <w:r w:rsidR="00381AE5">
              <w:rPr>
                <w:rFonts w:cs="Arial"/>
                <w:sz w:val="20"/>
                <w:szCs w:val="20"/>
              </w:rPr>
              <w:t>reasonable</w:t>
            </w:r>
            <w:r w:rsidR="00F42D61">
              <w:rPr>
                <w:rFonts w:cs="Arial"/>
                <w:sz w:val="20"/>
                <w:szCs w:val="20"/>
              </w:rPr>
              <w:t xml:space="preserve"> redress </w:t>
            </w:r>
            <w:r w:rsidR="00381AE5">
              <w:rPr>
                <w:rFonts w:cs="Arial"/>
                <w:sz w:val="20"/>
                <w:szCs w:val="20"/>
              </w:rPr>
              <w:t>in relation to its handling of RTB application. In accordance of paragraph 52 of the scheme, there w</w:t>
            </w:r>
            <w:r w:rsidR="00D66D64">
              <w:rPr>
                <w:rFonts w:cs="Arial"/>
                <w:sz w:val="20"/>
                <w:szCs w:val="20"/>
              </w:rPr>
              <w:t>as service failure by the landlord in its complaint handling.</w:t>
            </w:r>
          </w:p>
          <w:p w14:paraId="243B86AD" w14:textId="77777777" w:rsidR="00F00744" w:rsidRDefault="00F00744" w:rsidP="00F42D61">
            <w:pPr>
              <w:spacing w:after="120" w:line="276" w:lineRule="auto"/>
              <w:jc w:val="both"/>
              <w:rPr>
                <w:rFonts w:cs="Arial"/>
                <w:sz w:val="20"/>
                <w:szCs w:val="20"/>
              </w:rPr>
            </w:pPr>
          </w:p>
          <w:p w14:paraId="15E9F108" w14:textId="77777777" w:rsidR="00F00744" w:rsidRDefault="00F00744" w:rsidP="00F42D61">
            <w:pPr>
              <w:spacing w:after="120" w:line="276" w:lineRule="auto"/>
              <w:jc w:val="both"/>
              <w:rPr>
                <w:rFonts w:cs="Arial"/>
                <w:sz w:val="20"/>
                <w:szCs w:val="20"/>
              </w:rPr>
            </w:pPr>
          </w:p>
          <w:p w14:paraId="07DA4AEF" w14:textId="64473ACC" w:rsidR="003E34ED" w:rsidRDefault="003E34ED" w:rsidP="003E32FD">
            <w:pPr>
              <w:spacing w:after="120" w:line="276" w:lineRule="auto"/>
              <w:jc w:val="both"/>
              <w:rPr>
                <w:rFonts w:cs="Arial"/>
                <w:sz w:val="20"/>
                <w:szCs w:val="20"/>
              </w:rPr>
            </w:pPr>
          </w:p>
        </w:tc>
        <w:tc>
          <w:tcPr>
            <w:tcW w:w="1062" w:type="pct"/>
          </w:tcPr>
          <w:p w14:paraId="5C7975F5" w14:textId="4F0AFB52" w:rsidR="003E34ED" w:rsidRDefault="00D66D64" w:rsidP="003E32FD">
            <w:pPr>
              <w:spacing w:after="120" w:line="276" w:lineRule="auto"/>
              <w:jc w:val="both"/>
              <w:rPr>
                <w:rFonts w:cs="Arial"/>
                <w:sz w:val="20"/>
                <w:szCs w:val="20"/>
              </w:rPr>
            </w:pPr>
            <w:r>
              <w:rPr>
                <w:rFonts w:cs="Arial"/>
                <w:sz w:val="20"/>
                <w:szCs w:val="20"/>
              </w:rPr>
              <w:t>Pay resident £50 for minor failure in its complaint handling</w:t>
            </w:r>
            <w:r w:rsidR="00591595">
              <w:rPr>
                <w:rFonts w:cs="Arial"/>
                <w:sz w:val="20"/>
                <w:szCs w:val="20"/>
              </w:rPr>
              <w:t xml:space="preserve"> and re-offer the £250 compensation that was previously offered at stage 2.</w:t>
            </w:r>
          </w:p>
        </w:tc>
        <w:tc>
          <w:tcPr>
            <w:tcW w:w="1062" w:type="pct"/>
          </w:tcPr>
          <w:p w14:paraId="3AAF2E9E" w14:textId="1D4AE737" w:rsidR="00234410" w:rsidRDefault="00591595" w:rsidP="003E32FD">
            <w:pPr>
              <w:spacing w:after="120" w:line="276" w:lineRule="auto"/>
              <w:jc w:val="both"/>
              <w:rPr>
                <w:rFonts w:cs="Arial"/>
                <w:sz w:val="20"/>
                <w:szCs w:val="20"/>
              </w:rPr>
            </w:pPr>
            <w:r>
              <w:rPr>
                <w:rFonts w:cs="Arial"/>
                <w:sz w:val="20"/>
                <w:szCs w:val="20"/>
              </w:rPr>
              <w:t>Letter of apology and compensation offer sent to former resident within four-week deadline. Copy provided to the HOS as evidence of compliance of case determination.</w:t>
            </w:r>
          </w:p>
        </w:tc>
      </w:tr>
    </w:tbl>
    <w:p w14:paraId="045778F9" w14:textId="77777777" w:rsidR="003E32FD" w:rsidRPr="003E32FD" w:rsidRDefault="003E32FD" w:rsidP="003E32FD">
      <w:pPr>
        <w:spacing w:after="120" w:line="276" w:lineRule="auto"/>
        <w:jc w:val="both"/>
        <w:rPr>
          <w:rFonts w:cs="Arial"/>
        </w:rPr>
      </w:pPr>
    </w:p>
    <w:p w14:paraId="7CF0BB54" w14:textId="6E31F0E4" w:rsidR="00135BA6" w:rsidRPr="004F0161" w:rsidRDefault="00135BA6" w:rsidP="00135BA6">
      <w:pPr>
        <w:pBdr>
          <w:bottom w:val="single" w:sz="4" w:space="1" w:color="auto"/>
        </w:pBdr>
        <w:tabs>
          <w:tab w:val="left" w:pos="567"/>
        </w:tabs>
        <w:spacing w:after="120" w:line="276" w:lineRule="auto"/>
        <w:jc w:val="both"/>
        <w:rPr>
          <w:rFonts w:cs="Arial"/>
          <w:b/>
          <w:bCs/>
        </w:rPr>
      </w:pPr>
      <w:r>
        <w:rPr>
          <w:rFonts w:cs="Arial"/>
          <w:b/>
          <w:bCs/>
        </w:rPr>
        <w:lastRenderedPageBreak/>
        <w:t>Learning from Complaints</w:t>
      </w:r>
      <w:r w:rsidRPr="004F0161">
        <w:rPr>
          <w:rFonts w:cs="Arial"/>
          <w:b/>
          <w:bCs/>
        </w:rPr>
        <w:t xml:space="preserve"> </w:t>
      </w:r>
    </w:p>
    <w:p w14:paraId="3A4F857F" w14:textId="4F4918D5" w:rsidR="00135BA6" w:rsidRDefault="00E23C55" w:rsidP="00135BA6">
      <w:pPr>
        <w:pStyle w:val="ListParagraph"/>
        <w:numPr>
          <w:ilvl w:val="0"/>
          <w:numId w:val="39"/>
        </w:numPr>
        <w:spacing w:after="120" w:line="276" w:lineRule="auto"/>
        <w:ind w:left="567" w:hanging="567"/>
        <w:jc w:val="both"/>
        <w:rPr>
          <w:rFonts w:cs="Arial"/>
        </w:rPr>
      </w:pPr>
      <w:r>
        <w:rPr>
          <w:rFonts w:cs="Arial"/>
        </w:rPr>
        <w:t>The complaints process is used as a tool to inform where learning and service improvements can be made. Below are learning points that have come from complaint investigation and scrutiny by the customer complaint panel:</w:t>
      </w:r>
    </w:p>
    <w:tbl>
      <w:tblPr>
        <w:tblStyle w:val="TableGrid"/>
        <w:tblW w:w="11058" w:type="dxa"/>
        <w:tblInd w:w="-998" w:type="dxa"/>
        <w:tblLook w:val="04A0" w:firstRow="1" w:lastRow="0" w:firstColumn="1" w:lastColumn="0" w:noHBand="0" w:noVBand="1"/>
      </w:tblPr>
      <w:tblGrid>
        <w:gridCol w:w="3403"/>
        <w:gridCol w:w="3827"/>
        <w:gridCol w:w="3828"/>
      </w:tblGrid>
      <w:tr w:rsidR="00E23C55" w14:paraId="588DD2FE" w14:textId="77777777" w:rsidTr="00E23C55">
        <w:tc>
          <w:tcPr>
            <w:tcW w:w="3403" w:type="dxa"/>
          </w:tcPr>
          <w:p w14:paraId="04F2AEAC" w14:textId="701FF223" w:rsidR="00E23C55" w:rsidRPr="00E23C55" w:rsidRDefault="00E23C55" w:rsidP="00E23C55">
            <w:pPr>
              <w:spacing w:after="120" w:line="276" w:lineRule="auto"/>
              <w:jc w:val="center"/>
              <w:rPr>
                <w:rFonts w:cs="Arial"/>
                <w:b/>
                <w:bCs/>
              </w:rPr>
            </w:pPr>
            <w:r w:rsidRPr="00E23C55">
              <w:rPr>
                <w:rFonts w:cs="Arial"/>
                <w:b/>
                <w:bCs/>
              </w:rPr>
              <w:t>Complaint</w:t>
            </w:r>
          </w:p>
        </w:tc>
        <w:tc>
          <w:tcPr>
            <w:tcW w:w="3827" w:type="dxa"/>
          </w:tcPr>
          <w:p w14:paraId="6D23B833" w14:textId="5DF6C4BD" w:rsidR="00E23C55" w:rsidRPr="00E23C55" w:rsidRDefault="00E23C55" w:rsidP="00E23C55">
            <w:pPr>
              <w:spacing w:after="120" w:line="276" w:lineRule="auto"/>
              <w:jc w:val="center"/>
              <w:rPr>
                <w:rFonts w:cs="Arial"/>
                <w:b/>
                <w:bCs/>
              </w:rPr>
            </w:pPr>
            <w:r w:rsidRPr="00E23C55">
              <w:rPr>
                <w:rFonts w:cs="Arial"/>
                <w:b/>
                <w:bCs/>
              </w:rPr>
              <w:t>Learning</w:t>
            </w:r>
          </w:p>
        </w:tc>
        <w:tc>
          <w:tcPr>
            <w:tcW w:w="3828" w:type="dxa"/>
          </w:tcPr>
          <w:p w14:paraId="0E5E73D1" w14:textId="56BB3866" w:rsidR="00E23C55" w:rsidRPr="00E23C55" w:rsidRDefault="00E23C55" w:rsidP="00E23C55">
            <w:pPr>
              <w:spacing w:after="120" w:line="276" w:lineRule="auto"/>
              <w:jc w:val="center"/>
              <w:rPr>
                <w:rFonts w:cs="Arial"/>
                <w:b/>
                <w:bCs/>
              </w:rPr>
            </w:pPr>
            <w:r w:rsidRPr="00E23C55">
              <w:rPr>
                <w:rFonts w:cs="Arial"/>
                <w:b/>
                <w:bCs/>
              </w:rPr>
              <w:t>Comment</w:t>
            </w:r>
          </w:p>
        </w:tc>
      </w:tr>
      <w:tr w:rsidR="00E23C55" w14:paraId="28FFA843" w14:textId="77777777" w:rsidTr="00E23C55">
        <w:tc>
          <w:tcPr>
            <w:tcW w:w="3403" w:type="dxa"/>
          </w:tcPr>
          <w:p w14:paraId="53E451B5" w14:textId="18464FD4" w:rsidR="00E23C55" w:rsidRDefault="00E23C55" w:rsidP="00E23C55">
            <w:pPr>
              <w:spacing w:after="120" w:line="276" w:lineRule="auto"/>
              <w:jc w:val="both"/>
              <w:rPr>
                <w:rFonts w:cs="Arial"/>
              </w:rPr>
            </w:pPr>
            <w:r>
              <w:rPr>
                <w:rFonts w:cs="Arial"/>
              </w:rPr>
              <w:t>Customer</w:t>
            </w:r>
            <w:r w:rsidR="005022A0">
              <w:rPr>
                <w:rFonts w:cs="Arial"/>
              </w:rPr>
              <w:t>s l</w:t>
            </w:r>
            <w:r w:rsidR="00371777">
              <w:rPr>
                <w:rFonts w:cs="Arial"/>
              </w:rPr>
              <w:t>et us know they were unhappy with how we handled external repairs.</w:t>
            </w:r>
          </w:p>
        </w:tc>
        <w:tc>
          <w:tcPr>
            <w:tcW w:w="3827" w:type="dxa"/>
          </w:tcPr>
          <w:p w14:paraId="791F7B1F" w14:textId="72A37757" w:rsidR="00E23C55" w:rsidRDefault="005E43A6" w:rsidP="00E23C55">
            <w:pPr>
              <w:spacing w:after="120" w:line="276" w:lineRule="auto"/>
              <w:jc w:val="both"/>
              <w:rPr>
                <w:rFonts w:cs="Arial"/>
              </w:rPr>
            </w:pPr>
            <w:r>
              <w:rPr>
                <w:rFonts w:cs="Arial"/>
              </w:rPr>
              <w:t>If external repairs require scaffolding, this will be communicated to customers via the planning team and estimated dates will be provided.</w:t>
            </w:r>
            <w:r w:rsidR="0024319B">
              <w:rPr>
                <w:rFonts w:cs="Arial"/>
              </w:rPr>
              <w:t xml:space="preserve"> </w:t>
            </w:r>
          </w:p>
        </w:tc>
        <w:tc>
          <w:tcPr>
            <w:tcW w:w="3828" w:type="dxa"/>
          </w:tcPr>
          <w:p w14:paraId="47C34375" w14:textId="6E097E41" w:rsidR="00E23C55" w:rsidRDefault="00D21F1D" w:rsidP="00E23C55">
            <w:pPr>
              <w:spacing w:after="120" w:line="276" w:lineRule="auto"/>
              <w:jc w:val="both"/>
              <w:rPr>
                <w:rFonts w:cs="Arial"/>
              </w:rPr>
            </w:pPr>
            <w:r>
              <w:rPr>
                <w:rFonts w:cs="Arial"/>
              </w:rPr>
              <w:t xml:space="preserve">Planning team updated with new scripting to advise and guide customers who will have </w:t>
            </w:r>
            <w:r w:rsidR="00745CA9">
              <w:rPr>
                <w:rFonts w:cs="Arial"/>
              </w:rPr>
              <w:t>supplementary attendance by contractors prior to external work.</w:t>
            </w:r>
            <w:r w:rsidR="00E23C55">
              <w:rPr>
                <w:rFonts w:cs="Arial"/>
              </w:rPr>
              <w:t xml:space="preserve"> </w:t>
            </w:r>
          </w:p>
        </w:tc>
      </w:tr>
      <w:tr w:rsidR="00E23C55" w14:paraId="2C701748" w14:textId="77777777" w:rsidTr="00E23C55">
        <w:tc>
          <w:tcPr>
            <w:tcW w:w="3403" w:type="dxa"/>
          </w:tcPr>
          <w:p w14:paraId="72E6D420" w14:textId="49099EA4" w:rsidR="00E23C55" w:rsidRDefault="00745CA9" w:rsidP="00E23C55">
            <w:pPr>
              <w:spacing w:after="120" w:line="276" w:lineRule="auto"/>
              <w:jc w:val="both"/>
              <w:rPr>
                <w:rFonts w:cs="Arial"/>
              </w:rPr>
            </w:pPr>
            <w:r>
              <w:rPr>
                <w:rFonts w:cs="Arial"/>
              </w:rPr>
              <w:t xml:space="preserve">Customers advised that our mutual exchange process isn’t working efficiently. </w:t>
            </w:r>
          </w:p>
        </w:tc>
        <w:tc>
          <w:tcPr>
            <w:tcW w:w="3827" w:type="dxa"/>
          </w:tcPr>
          <w:p w14:paraId="1C64BBE6" w14:textId="23F9CF8E" w:rsidR="00E23C55" w:rsidRDefault="00A6090B" w:rsidP="00E23C55">
            <w:pPr>
              <w:spacing w:after="120" w:line="276" w:lineRule="auto"/>
              <w:jc w:val="both"/>
              <w:rPr>
                <w:rFonts w:cs="Arial"/>
              </w:rPr>
            </w:pPr>
            <w:r>
              <w:rPr>
                <w:rFonts w:cs="Arial"/>
              </w:rPr>
              <w:t>A working group was formed to discuss and update the process.</w:t>
            </w:r>
          </w:p>
        </w:tc>
        <w:tc>
          <w:tcPr>
            <w:tcW w:w="3828" w:type="dxa"/>
          </w:tcPr>
          <w:p w14:paraId="5F892C29" w14:textId="7BBF26ED" w:rsidR="00E23C55" w:rsidRDefault="00A6090B" w:rsidP="00E23C55">
            <w:pPr>
              <w:spacing w:after="120" w:line="276" w:lineRule="auto"/>
              <w:jc w:val="both"/>
              <w:rPr>
                <w:rFonts w:cs="Arial"/>
              </w:rPr>
            </w:pPr>
            <w:r>
              <w:rPr>
                <w:rFonts w:cs="Arial"/>
              </w:rPr>
              <w:t xml:space="preserve">The group assessed the process against current best practice and consumer standards and updated the policy and process. </w:t>
            </w:r>
            <w:r w:rsidR="00DA4B67">
              <w:rPr>
                <w:rFonts w:cs="Arial"/>
              </w:rPr>
              <w:t xml:space="preserve"> </w:t>
            </w:r>
          </w:p>
        </w:tc>
      </w:tr>
      <w:tr w:rsidR="00DA4B67" w14:paraId="70231B55" w14:textId="77777777" w:rsidTr="00E23C55">
        <w:tc>
          <w:tcPr>
            <w:tcW w:w="3403" w:type="dxa"/>
          </w:tcPr>
          <w:p w14:paraId="1944FB28" w14:textId="734BC6AE" w:rsidR="00DA4B67" w:rsidRDefault="00DA4B67" w:rsidP="00E23C55">
            <w:pPr>
              <w:spacing w:after="120" w:line="276" w:lineRule="auto"/>
              <w:jc w:val="both"/>
              <w:rPr>
                <w:rFonts w:cs="Arial"/>
              </w:rPr>
            </w:pPr>
            <w:r>
              <w:rPr>
                <w:rFonts w:cs="Arial"/>
              </w:rPr>
              <w:t>Customer</w:t>
            </w:r>
            <w:r w:rsidR="00A87E4C">
              <w:rPr>
                <w:rFonts w:cs="Arial"/>
              </w:rPr>
              <w:t xml:space="preserve">s (private owners) living in our communities felt LHP did not communicate planned works effectively. </w:t>
            </w:r>
          </w:p>
        </w:tc>
        <w:tc>
          <w:tcPr>
            <w:tcW w:w="3827" w:type="dxa"/>
          </w:tcPr>
          <w:p w14:paraId="0663E116" w14:textId="5EC42E61" w:rsidR="00DA4B67" w:rsidRDefault="0031660A" w:rsidP="00E23C55">
            <w:pPr>
              <w:spacing w:after="120" w:line="276" w:lineRule="auto"/>
              <w:jc w:val="both"/>
              <w:rPr>
                <w:rFonts w:cs="Arial"/>
              </w:rPr>
            </w:pPr>
            <w:r>
              <w:rPr>
                <w:rFonts w:cs="Arial"/>
              </w:rPr>
              <w:t xml:space="preserve">We needed to prioritise communicating </w:t>
            </w:r>
            <w:r w:rsidR="003004D4">
              <w:rPr>
                <w:rFonts w:cs="Arial"/>
              </w:rPr>
              <w:t>to all members of our communities, not just the customers in our homes</w:t>
            </w:r>
            <w:r w:rsidR="00004CDB">
              <w:rPr>
                <w:rFonts w:cs="Arial"/>
              </w:rPr>
              <w:t xml:space="preserve">. </w:t>
            </w:r>
            <w:r w:rsidR="00DA4B67">
              <w:rPr>
                <w:rFonts w:cs="Arial"/>
              </w:rPr>
              <w:t xml:space="preserve"> </w:t>
            </w:r>
          </w:p>
        </w:tc>
        <w:tc>
          <w:tcPr>
            <w:tcW w:w="3828" w:type="dxa"/>
          </w:tcPr>
          <w:p w14:paraId="40BEBB45" w14:textId="36CCBC2C" w:rsidR="00DA4B67" w:rsidRDefault="00332389" w:rsidP="00E23C55">
            <w:pPr>
              <w:spacing w:after="120" w:line="276" w:lineRule="auto"/>
              <w:jc w:val="both"/>
              <w:rPr>
                <w:rFonts w:cs="Arial"/>
              </w:rPr>
            </w:pPr>
            <w:r>
              <w:rPr>
                <w:rFonts w:cs="Arial"/>
              </w:rPr>
              <w:t xml:space="preserve">Engagement days with our partnering contractors and pre-installation meetings meant LHP could reach more people that live in our communities. </w:t>
            </w:r>
            <w:r w:rsidR="00DA4B67">
              <w:rPr>
                <w:rFonts w:cs="Arial"/>
              </w:rPr>
              <w:t xml:space="preserve"> </w:t>
            </w:r>
          </w:p>
        </w:tc>
      </w:tr>
      <w:tr w:rsidR="00332389" w14:paraId="31C79095" w14:textId="77777777" w:rsidTr="00E23C55">
        <w:tc>
          <w:tcPr>
            <w:tcW w:w="3403" w:type="dxa"/>
          </w:tcPr>
          <w:p w14:paraId="4415D80A" w14:textId="2FC20ED2" w:rsidR="00332389" w:rsidRDefault="00E12F2C" w:rsidP="00E23C55">
            <w:pPr>
              <w:spacing w:after="120" w:line="276" w:lineRule="auto"/>
              <w:jc w:val="both"/>
              <w:rPr>
                <w:rFonts w:cs="Arial"/>
              </w:rPr>
            </w:pPr>
            <w:r>
              <w:rPr>
                <w:rFonts w:cs="Arial"/>
              </w:rPr>
              <w:t>Customers who had had investment works completed in their homes did not know when snagging repairs would be completed.</w:t>
            </w:r>
          </w:p>
        </w:tc>
        <w:tc>
          <w:tcPr>
            <w:tcW w:w="3827" w:type="dxa"/>
          </w:tcPr>
          <w:p w14:paraId="150DCE41" w14:textId="1CF8B37E" w:rsidR="00332389" w:rsidRDefault="00DC292C" w:rsidP="00E23C55">
            <w:pPr>
              <w:spacing w:after="120" w:line="276" w:lineRule="auto"/>
              <w:jc w:val="both"/>
              <w:rPr>
                <w:rFonts w:cs="Arial"/>
              </w:rPr>
            </w:pPr>
            <w:r>
              <w:rPr>
                <w:rFonts w:cs="Arial"/>
              </w:rPr>
              <w:t>Snagging</w:t>
            </w:r>
            <w:r w:rsidR="00915384">
              <w:rPr>
                <w:rFonts w:cs="Arial"/>
              </w:rPr>
              <w:t xml:space="preserve"> is often picked up on the handover process from Fortem to LHP and customers need to know what these are and when they can expect them to be done.</w:t>
            </w:r>
          </w:p>
        </w:tc>
        <w:tc>
          <w:tcPr>
            <w:tcW w:w="3828" w:type="dxa"/>
          </w:tcPr>
          <w:p w14:paraId="4DAE4630" w14:textId="2AD06803" w:rsidR="00332389" w:rsidRDefault="00676F94" w:rsidP="00E23C55">
            <w:pPr>
              <w:spacing w:after="120" w:line="276" w:lineRule="auto"/>
              <w:jc w:val="both"/>
              <w:rPr>
                <w:rFonts w:cs="Arial"/>
              </w:rPr>
            </w:pPr>
            <w:r>
              <w:rPr>
                <w:rFonts w:cs="Arial"/>
              </w:rPr>
              <w:t>Setting expectations with Fortem to ensure that snagging checklists are produced and shared with our customers. These are saved internally so if customers contact LHP we can assist. These repairs should be completed within 10 working days of the handover.</w:t>
            </w:r>
          </w:p>
        </w:tc>
      </w:tr>
      <w:tr w:rsidR="00582171" w14:paraId="6AFE4E19" w14:textId="77777777" w:rsidTr="00E23C55">
        <w:tc>
          <w:tcPr>
            <w:tcW w:w="3403" w:type="dxa"/>
          </w:tcPr>
          <w:p w14:paraId="04747E7E" w14:textId="5CAD7D30" w:rsidR="00582171" w:rsidRDefault="00525CD4" w:rsidP="00E23C55">
            <w:pPr>
              <w:spacing w:after="120" w:line="276" w:lineRule="auto"/>
              <w:jc w:val="both"/>
              <w:rPr>
                <w:rFonts w:cs="Arial"/>
              </w:rPr>
            </w:pPr>
            <w:r>
              <w:rPr>
                <w:rFonts w:cs="Arial"/>
              </w:rPr>
              <w:t xml:space="preserve">Complaints about the repairs service in general. Lack of communication, repairs timescales, quality of work. </w:t>
            </w:r>
          </w:p>
        </w:tc>
        <w:tc>
          <w:tcPr>
            <w:tcW w:w="3827" w:type="dxa"/>
          </w:tcPr>
          <w:p w14:paraId="04254C31" w14:textId="0F65F9EE" w:rsidR="00582171" w:rsidRDefault="00525CD4" w:rsidP="00E23C55">
            <w:pPr>
              <w:spacing w:after="120" w:line="276" w:lineRule="auto"/>
              <w:jc w:val="both"/>
              <w:rPr>
                <w:rFonts w:cs="Arial"/>
              </w:rPr>
            </w:pPr>
            <w:r>
              <w:rPr>
                <w:rFonts w:cs="Arial"/>
              </w:rPr>
              <w:t>The repairs service needs to be reviewed</w:t>
            </w:r>
            <w:r w:rsidR="00445767">
              <w:rPr>
                <w:rFonts w:cs="Arial"/>
              </w:rPr>
              <w:t xml:space="preserve">, alongside the policies and processes to ensure our customers are receiving the repairs service they expect. </w:t>
            </w:r>
          </w:p>
        </w:tc>
        <w:tc>
          <w:tcPr>
            <w:tcW w:w="3828" w:type="dxa"/>
          </w:tcPr>
          <w:p w14:paraId="25E8B1EB" w14:textId="0D5CD630" w:rsidR="00582171" w:rsidRDefault="00445767" w:rsidP="00E23C55">
            <w:pPr>
              <w:spacing w:after="120" w:line="276" w:lineRule="auto"/>
              <w:jc w:val="both"/>
              <w:rPr>
                <w:rFonts w:cs="Arial"/>
              </w:rPr>
            </w:pPr>
            <w:r>
              <w:rPr>
                <w:rFonts w:cs="Arial"/>
              </w:rPr>
              <w:t>This is part of an on-going Repairs Stabilisation programme</w:t>
            </w:r>
            <w:r w:rsidR="00F95668">
              <w:rPr>
                <w:rFonts w:cs="Arial"/>
              </w:rPr>
              <w:t xml:space="preserve">, that is working with colleague and customer feedback to shape the service and make it more efficient. </w:t>
            </w:r>
          </w:p>
        </w:tc>
      </w:tr>
    </w:tbl>
    <w:p w14:paraId="0398FD60" w14:textId="77777777" w:rsidR="003E32FD" w:rsidRPr="003E32FD" w:rsidRDefault="003E32FD" w:rsidP="003E32FD">
      <w:pPr>
        <w:spacing w:after="120" w:line="276" w:lineRule="auto"/>
        <w:jc w:val="both"/>
        <w:rPr>
          <w:rFonts w:cs="Arial"/>
        </w:rPr>
      </w:pPr>
    </w:p>
    <w:p w14:paraId="07ADE6E6" w14:textId="476E0671" w:rsidR="008159D4" w:rsidRPr="004F0161" w:rsidRDefault="00BB128E" w:rsidP="00E42021">
      <w:pPr>
        <w:pBdr>
          <w:bottom w:val="single" w:sz="4" w:space="1" w:color="auto"/>
        </w:pBdr>
        <w:tabs>
          <w:tab w:val="left" w:pos="567"/>
        </w:tabs>
        <w:spacing w:after="120" w:line="276" w:lineRule="auto"/>
        <w:jc w:val="both"/>
        <w:rPr>
          <w:rFonts w:cs="Arial"/>
          <w:b/>
          <w:bCs/>
        </w:rPr>
      </w:pPr>
      <w:r w:rsidRPr="004F0161">
        <w:rPr>
          <w:rFonts w:cs="Arial"/>
          <w:b/>
          <w:bCs/>
        </w:rPr>
        <w:t xml:space="preserve">Conclusion </w:t>
      </w:r>
    </w:p>
    <w:p w14:paraId="116F8D8C" w14:textId="7B973A68" w:rsidR="00912571" w:rsidRDefault="008159D4" w:rsidP="00AE569E">
      <w:pPr>
        <w:pStyle w:val="ListParagraph"/>
        <w:numPr>
          <w:ilvl w:val="0"/>
          <w:numId w:val="39"/>
        </w:numPr>
        <w:spacing w:after="120" w:line="276" w:lineRule="auto"/>
        <w:ind w:left="567" w:hanging="567"/>
        <w:jc w:val="both"/>
        <w:rPr>
          <w:rFonts w:cs="Arial"/>
        </w:rPr>
      </w:pPr>
      <w:r w:rsidRPr="004F0161">
        <w:rPr>
          <w:rFonts w:cs="Arial"/>
        </w:rPr>
        <w:t>Customer Experience</w:t>
      </w:r>
      <w:r w:rsidR="00AE569E">
        <w:rPr>
          <w:rFonts w:cs="Arial"/>
        </w:rPr>
        <w:t xml:space="preserve"> Team</w:t>
      </w:r>
      <w:r w:rsidRPr="004F0161">
        <w:rPr>
          <w:rFonts w:cs="Arial"/>
        </w:rPr>
        <w:t xml:space="preserve"> will continue to manage the complaints process and support, </w:t>
      </w:r>
      <w:r w:rsidR="00AE569E">
        <w:rPr>
          <w:rFonts w:cs="Arial"/>
        </w:rPr>
        <w:t>develop</w:t>
      </w:r>
      <w:r w:rsidRPr="004F0161">
        <w:rPr>
          <w:rFonts w:cs="Arial"/>
        </w:rPr>
        <w:t xml:space="preserve"> and guide colleagues across the business to influence a customer first service</w:t>
      </w:r>
      <w:r w:rsidR="00845C10">
        <w:rPr>
          <w:rFonts w:cs="Arial"/>
        </w:rPr>
        <w:t xml:space="preserve"> and ensure accountability and compliance with the code.</w:t>
      </w:r>
    </w:p>
    <w:p w14:paraId="24CC3D3D" w14:textId="4E34890B" w:rsidR="00845C10" w:rsidRPr="00845C10" w:rsidRDefault="00845C10" w:rsidP="00845C10">
      <w:pPr>
        <w:pStyle w:val="ListParagraph"/>
        <w:numPr>
          <w:ilvl w:val="0"/>
          <w:numId w:val="39"/>
        </w:numPr>
        <w:spacing w:after="120" w:line="276" w:lineRule="auto"/>
        <w:ind w:left="567" w:hanging="567"/>
        <w:jc w:val="both"/>
        <w:rPr>
          <w:rFonts w:cs="Arial"/>
        </w:rPr>
      </w:pPr>
      <w:r w:rsidRPr="004F0161">
        <w:rPr>
          <w:rFonts w:cs="Arial"/>
        </w:rPr>
        <w:t xml:space="preserve">Through consistent review and challenge we believe that we can continue to improve our customers’ experience and achieve improved satisfaction </w:t>
      </w:r>
      <w:r w:rsidRPr="004F0161">
        <w:rPr>
          <w:rFonts w:cs="Arial"/>
        </w:rPr>
        <w:lastRenderedPageBreak/>
        <w:t>responses.</w:t>
      </w:r>
      <w:r>
        <w:rPr>
          <w:rFonts w:cs="Arial"/>
        </w:rPr>
        <w:t xml:space="preserve"> With the introduction of insight and change teams, this will be a collaborative approach using customer insight to workshop improvements.</w:t>
      </w:r>
    </w:p>
    <w:sectPr w:rsidR="00845C10" w:rsidRPr="00845C10" w:rsidSect="0026512B">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72323" w14:textId="77777777" w:rsidR="00980BA5" w:rsidRDefault="00980BA5">
      <w:r>
        <w:separator/>
      </w:r>
    </w:p>
  </w:endnote>
  <w:endnote w:type="continuationSeparator" w:id="0">
    <w:p w14:paraId="203FDA3A" w14:textId="77777777" w:rsidR="00980BA5" w:rsidRDefault="0098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5111640"/>
      <w:docPartObj>
        <w:docPartGallery w:val="Page Numbers (Bottom of Page)"/>
        <w:docPartUnique/>
      </w:docPartObj>
    </w:sdtPr>
    <w:sdtContent>
      <w:sdt>
        <w:sdtPr>
          <w:id w:val="-1769616900"/>
          <w:docPartObj>
            <w:docPartGallery w:val="Page Numbers (Top of Page)"/>
            <w:docPartUnique/>
          </w:docPartObj>
        </w:sdtPr>
        <w:sdtContent>
          <w:p w14:paraId="62F07BEE" w14:textId="31F3957A" w:rsidR="00C832AD" w:rsidRDefault="00A861BA" w:rsidP="00BA41FC">
            <w:pPr>
              <w:pStyle w:val="Footer"/>
              <w:tabs>
                <w:tab w:val="clear" w:pos="4153"/>
                <w:tab w:val="center" w:pos="5387"/>
              </w:tabs>
              <w:jc w:val="right"/>
            </w:pPr>
            <w:r>
              <w:t>April</w:t>
            </w:r>
            <w:r w:rsidR="00A81B21">
              <w:t xml:space="preserve"> 202</w:t>
            </w:r>
            <w:r w:rsidR="007342AF">
              <w:t>5</w:t>
            </w:r>
            <w:r w:rsidR="00A81B21">
              <w:tab/>
            </w:r>
            <w:r w:rsidR="00AE569E" w:rsidRPr="00AE569E">
              <w:t xml:space="preserve">Page </w:t>
            </w:r>
            <w:r w:rsidR="00AE569E" w:rsidRPr="00AE569E">
              <w:fldChar w:fldCharType="begin"/>
            </w:r>
            <w:r w:rsidR="00AE569E" w:rsidRPr="00AE569E">
              <w:instrText xml:space="preserve"> PAGE </w:instrText>
            </w:r>
            <w:r w:rsidR="00AE569E" w:rsidRPr="00AE569E">
              <w:fldChar w:fldCharType="separate"/>
            </w:r>
            <w:r w:rsidR="00AE569E" w:rsidRPr="00AE569E">
              <w:rPr>
                <w:noProof/>
              </w:rPr>
              <w:t>2</w:t>
            </w:r>
            <w:r w:rsidR="00AE569E" w:rsidRPr="00AE569E">
              <w:fldChar w:fldCharType="end"/>
            </w:r>
            <w:r w:rsidR="00AE569E" w:rsidRPr="00AE569E">
              <w:t xml:space="preserve"> of </w:t>
            </w:r>
            <w:r>
              <w:fldChar w:fldCharType="begin"/>
            </w:r>
            <w:r>
              <w:instrText xml:space="preserve"> NUMPAGES  </w:instrText>
            </w:r>
            <w:r>
              <w:fldChar w:fldCharType="separate"/>
            </w:r>
            <w:r w:rsidR="00AE569E" w:rsidRPr="00AE569E">
              <w:rPr>
                <w:noProof/>
              </w:rPr>
              <w:t>2</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DB8B5" w14:textId="77777777" w:rsidR="00980BA5" w:rsidRDefault="00980BA5">
      <w:r>
        <w:separator/>
      </w:r>
    </w:p>
  </w:footnote>
  <w:footnote w:type="continuationSeparator" w:id="0">
    <w:p w14:paraId="68F7D3C9" w14:textId="77777777" w:rsidR="00980BA5" w:rsidRDefault="00980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4E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507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421501"/>
    <w:multiLevelType w:val="hybridMultilevel"/>
    <w:tmpl w:val="E3221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67C734C"/>
    <w:multiLevelType w:val="multilevel"/>
    <w:tmpl w:val="CFF0A15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21574D4"/>
    <w:multiLevelType w:val="multilevel"/>
    <w:tmpl w:val="71449BD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A948E1"/>
    <w:multiLevelType w:val="multilevel"/>
    <w:tmpl w:val="8E247944"/>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8D7960"/>
    <w:multiLevelType w:val="hybridMultilevel"/>
    <w:tmpl w:val="652CB3E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F0794"/>
    <w:multiLevelType w:val="multilevel"/>
    <w:tmpl w:val="71449BD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AE17FA"/>
    <w:multiLevelType w:val="hybridMultilevel"/>
    <w:tmpl w:val="3A10C1D6"/>
    <w:lvl w:ilvl="0" w:tplc="A46C5E1E">
      <w:start w:val="1"/>
      <w:numFmt w:val="decimal"/>
      <w:lvlText w:val="%1."/>
      <w:lvlJc w:val="left"/>
      <w:pPr>
        <w:ind w:left="720" w:hanging="360"/>
      </w:pPr>
      <w:rPr>
        <w:rFonts w:ascii="Arial" w:hAnsi="Arial" w:hint="default"/>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EB4341"/>
    <w:multiLevelType w:val="multilevel"/>
    <w:tmpl w:val="BD3A04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B00445"/>
    <w:multiLevelType w:val="multilevel"/>
    <w:tmpl w:val="D68A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C62751"/>
    <w:multiLevelType w:val="multilevel"/>
    <w:tmpl w:val="373C4DB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5E5C29"/>
    <w:multiLevelType w:val="multilevel"/>
    <w:tmpl w:val="BD5053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957DC8"/>
    <w:multiLevelType w:val="hybridMultilevel"/>
    <w:tmpl w:val="6004D26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9F12C46"/>
    <w:multiLevelType w:val="hybridMultilevel"/>
    <w:tmpl w:val="2FFA0238"/>
    <w:lvl w:ilvl="0" w:tplc="8CEE14F4">
      <w:numFmt w:val="bullet"/>
      <w:lvlText w:val="-"/>
      <w:lvlJc w:val="left"/>
      <w:pPr>
        <w:ind w:left="927" w:hanging="360"/>
      </w:pPr>
      <w:rPr>
        <w:rFonts w:ascii="Calibri" w:eastAsia="Times New Roman"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2E0D70B2"/>
    <w:multiLevelType w:val="multilevel"/>
    <w:tmpl w:val="164815C6"/>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851"/>
        </w:tabs>
        <w:ind w:left="851" w:hanging="851"/>
      </w:pPr>
      <w:rPr>
        <w:rFonts w:hint="default"/>
        <w:b w:val="0"/>
        <w:color w:val="auto"/>
      </w:rPr>
    </w:lvl>
    <w:lvl w:ilvl="2">
      <w:start w:val="1"/>
      <w:numFmt w:val="decimal"/>
      <w:lvlText w:val="%1.%2.%3."/>
      <w:lvlJc w:val="left"/>
      <w:pPr>
        <w:tabs>
          <w:tab w:val="num" w:pos="851"/>
        </w:tabs>
        <w:ind w:left="851" w:hanging="851"/>
      </w:pPr>
      <w:rPr>
        <w:rFonts w:hint="default"/>
        <w:color w:val="auto"/>
      </w:rPr>
    </w:lvl>
    <w:lvl w:ilvl="3">
      <w:start w:val="1"/>
      <w:numFmt w:val="decimal"/>
      <w:lvlText w:val="%1.%2.%3.%4."/>
      <w:lvlJc w:val="left"/>
      <w:pPr>
        <w:tabs>
          <w:tab w:val="num" w:pos="1800"/>
        </w:tabs>
        <w:ind w:left="1728" w:hanging="648"/>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6" w15:restartNumberingAfterBreak="0">
    <w:nsid w:val="381543BC"/>
    <w:multiLevelType w:val="multilevel"/>
    <w:tmpl w:val="A38E01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6B0B5C"/>
    <w:multiLevelType w:val="hybridMultilevel"/>
    <w:tmpl w:val="F332736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39DB53C0"/>
    <w:multiLevelType w:val="multilevel"/>
    <w:tmpl w:val="451A68A6"/>
    <w:lvl w:ilvl="0">
      <w:start w:val="9"/>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B880C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161FB2"/>
    <w:multiLevelType w:val="multilevel"/>
    <w:tmpl w:val="700A89A8"/>
    <w:lvl w:ilvl="0">
      <w:start w:val="6"/>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DD3752"/>
    <w:multiLevelType w:val="hybridMultilevel"/>
    <w:tmpl w:val="F09877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0954DAD"/>
    <w:multiLevelType w:val="multilevel"/>
    <w:tmpl w:val="5BE25C0A"/>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19B26EE"/>
    <w:multiLevelType w:val="hybridMultilevel"/>
    <w:tmpl w:val="A1E2D958"/>
    <w:lvl w:ilvl="0" w:tplc="D7D24E5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D5103E"/>
    <w:multiLevelType w:val="multilevel"/>
    <w:tmpl w:val="A2A4E638"/>
    <w:lvl w:ilvl="0">
      <w:start w:val="8"/>
      <w:numFmt w:val="decimal"/>
      <w:lvlText w:val="%1"/>
      <w:lvlJc w:val="left"/>
      <w:pPr>
        <w:ind w:left="360" w:hanging="360"/>
      </w:pPr>
      <w:rPr>
        <w:rFonts w:hint="default"/>
        <w:i w:val="0"/>
        <w:color w:val="auto"/>
      </w:rPr>
    </w:lvl>
    <w:lvl w:ilvl="1">
      <w:start w:val="3"/>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440" w:hanging="144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800" w:hanging="180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25" w15:restartNumberingAfterBreak="0">
    <w:nsid w:val="446C19CF"/>
    <w:multiLevelType w:val="hybridMultilevel"/>
    <w:tmpl w:val="45B0D628"/>
    <w:lvl w:ilvl="0" w:tplc="EC901852">
      <w:numFmt w:val="bullet"/>
      <w:lvlText w:val="-"/>
      <w:lvlJc w:val="left"/>
      <w:pPr>
        <w:ind w:left="432" w:hanging="360"/>
      </w:pPr>
      <w:rPr>
        <w:rFonts w:ascii="Arial" w:eastAsia="Times New Roman"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6" w15:restartNumberingAfterBreak="0">
    <w:nsid w:val="497C69DE"/>
    <w:multiLevelType w:val="hybridMultilevel"/>
    <w:tmpl w:val="4440A1F6"/>
    <w:lvl w:ilvl="0" w:tplc="C42C53B2">
      <w:start w:val="5"/>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A240BE4"/>
    <w:multiLevelType w:val="hybridMultilevel"/>
    <w:tmpl w:val="C25487C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4A462999"/>
    <w:multiLevelType w:val="multilevel"/>
    <w:tmpl w:val="7F52EB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7D2AF3"/>
    <w:multiLevelType w:val="hybridMultilevel"/>
    <w:tmpl w:val="066261A2"/>
    <w:lvl w:ilvl="0" w:tplc="0809000F">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D2086F"/>
    <w:multiLevelType w:val="hybridMultilevel"/>
    <w:tmpl w:val="6B122EAC"/>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285ED6"/>
    <w:multiLevelType w:val="hybridMultilevel"/>
    <w:tmpl w:val="01FED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DC5A1A"/>
    <w:multiLevelType w:val="multilevel"/>
    <w:tmpl w:val="AAAE5F6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CC5795"/>
    <w:multiLevelType w:val="hybridMultilevel"/>
    <w:tmpl w:val="5A34D4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E30B09"/>
    <w:multiLevelType w:val="multilevel"/>
    <w:tmpl w:val="2BF83E24"/>
    <w:lvl w:ilvl="0">
      <w:start w:val="1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6F072D85"/>
    <w:multiLevelType w:val="multilevel"/>
    <w:tmpl w:val="26BC4BA0"/>
    <w:lvl w:ilvl="0">
      <w:start w:val="10"/>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FD3329F"/>
    <w:multiLevelType w:val="multilevel"/>
    <w:tmpl w:val="8E64050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4F554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A63007F"/>
    <w:multiLevelType w:val="hybridMultilevel"/>
    <w:tmpl w:val="6688EC5E"/>
    <w:lvl w:ilvl="0" w:tplc="BCEAE122">
      <w:start w:val="5"/>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340813626">
    <w:abstractNumId w:val="15"/>
  </w:num>
  <w:num w:numId="2" w16cid:durableId="494105244">
    <w:abstractNumId w:val="18"/>
  </w:num>
  <w:num w:numId="3" w16cid:durableId="446890672">
    <w:abstractNumId w:val="33"/>
  </w:num>
  <w:num w:numId="4" w16cid:durableId="371883767">
    <w:abstractNumId w:val="27"/>
  </w:num>
  <w:num w:numId="5" w16cid:durableId="1989086801">
    <w:abstractNumId w:val="17"/>
  </w:num>
  <w:num w:numId="6" w16cid:durableId="1952320200">
    <w:abstractNumId w:val="20"/>
  </w:num>
  <w:num w:numId="7" w16cid:durableId="343438086">
    <w:abstractNumId w:val="6"/>
  </w:num>
  <w:num w:numId="8" w16cid:durableId="205798162">
    <w:abstractNumId w:val="31"/>
  </w:num>
  <w:num w:numId="9" w16cid:durableId="375393590">
    <w:abstractNumId w:val="10"/>
  </w:num>
  <w:num w:numId="10" w16cid:durableId="1494759996">
    <w:abstractNumId w:val="11"/>
  </w:num>
  <w:num w:numId="11" w16cid:durableId="1282761466">
    <w:abstractNumId w:val="28"/>
  </w:num>
  <w:num w:numId="12" w16cid:durableId="862402044">
    <w:abstractNumId w:val="16"/>
  </w:num>
  <w:num w:numId="13" w16cid:durableId="1009142178">
    <w:abstractNumId w:val="8"/>
  </w:num>
  <w:num w:numId="14" w16cid:durableId="99615241">
    <w:abstractNumId w:val="24"/>
  </w:num>
  <w:num w:numId="15" w16cid:durableId="1923904691">
    <w:abstractNumId w:val="2"/>
  </w:num>
  <w:num w:numId="16" w16cid:durableId="1868981511">
    <w:abstractNumId w:val="22"/>
  </w:num>
  <w:num w:numId="17" w16cid:durableId="551233665">
    <w:abstractNumId w:val="26"/>
  </w:num>
  <w:num w:numId="18" w16cid:durableId="1468431832">
    <w:abstractNumId w:val="3"/>
  </w:num>
  <w:num w:numId="19" w16cid:durableId="1388988264">
    <w:abstractNumId w:val="29"/>
  </w:num>
  <w:num w:numId="20" w16cid:durableId="69273109">
    <w:abstractNumId w:val="12"/>
  </w:num>
  <w:num w:numId="21" w16cid:durableId="936671377">
    <w:abstractNumId w:val="34"/>
  </w:num>
  <w:num w:numId="22" w16cid:durableId="888959859">
    <w:abstractNumId w:val="9"/>
  </w:num>
  <w:num w:numId="23" w16cid:durableId="477918732">
    <w:abstractNumId w:val="23"/>
  </w:num>
  <w:num w:numId="24" w16cid:durableId="1955675360">
    <w:abstractNumId w:val="14"/>
  </w:num>
  <w:num w:numId="25" w16cid:durableId="822890008">
    <w:abstractNumId w:val="35"/>
  </w:num>
  <w:num w:numId="26" w16cid:durableId="1066758542">
    <w:abstractNumId w:val="36"/>
  </w:num>
  <w:num w:numId="27" w16cid:durableId="819689475">
    <w:abstractNumId w:val="32"/>
  </w:num>
  <w:num w:numId="28" w16cid:durableId="1188057346">
    <w:abstractNumId w:val="1"/>
  </w:num>
  <w:num w:numId="29" w16cid:durableId="1107236227">
    <w:abstractNumId w:val="5"/>
  </w:num>
  <w:num w:numId="30" w16cid:durableId="866793176">
    <w:abstractNumId w:val="21"/>
  </w:num>
  <w:num w:numId="31" w16cid:durableId="838082386">
    <w:abstractNumId w:val="7"/>
  </w:num>
  <w:num w:numId="32" w16cid:durableId="833298072">
    <w:abstractNumId w:val="13"/>
  </w:num>
  <w:num w:numId="33" w16cid:durableId="1353146853">
    <w:abstractNumId w:val="4"/>
  </w:num>
  <w:num w:numId="34" w16cid:durableId="786700170">
    <w:abstractNumId w:val="38"/>
  </w:num>
  <w:num w:numId="35" w16cid:durableId="2117167444">
    <w:abstractNumId w:val="0"/>
  </w:num>
  <w:num w:numId="36" w16cid:durableId="860973215">
    <w:abstractNumId w:val="37"/>
  </w:num>
  <w:num w:numId="37" w16cid:durableId="1171916451">
    <w:abstractNumId w:val="19"/>
  </w:num>
  <w:num w:numId="38" w16cid:durableId="531309179">
    <w:abstractNumId w:val="25"/>
  </w:num>
  <w:num w:numId="39" w16cid:durableId="1509448048">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48"/>
    <w:rsid w:val="000031DB"/>
    <w:rsid w:val="00004CDB"/>
    <w:rsid w:val="00007A85"/>
    <w:rsid w:val="000133BB"/>
    <w:rsid w:val="000220BF"/>
    <w:rsid w:val="00022797"/>
    <w:rsid w:val="0002309C"/>
    <w:rsid w:val="00023134"/>
    <w:rsid w:val="00023D75"/>
    <w:rsid w:val="00026B4A"/>
    <w:rsid w:val="000274ED"/>
    <w:rsid w:val="000305DF"/>
    <w:rsid w:val="00030808"/>
    <w:rsid w:val="00030CE9"/>
    <w:rsid w:val="00037591"/>
    <w:rsid w:val="00041552"/>
    <w:rsid w:val="0004589F"/>
    <w:rsid w:val="00050C82"/>
    <w:rsid w:val="00050E9E"/>
    <w:rsid w:val="000515A8"/>
    <w:rsid w:val="0005447A"/>
    <w:rsid w:val="00055C04"/>
    <w:rsid w:val="000562AC"/>
    <w:rsid w:val="00061F56"/>
    <w:rsid w:val="00063A2E"/>
    <w:rsid w:val="00066366"/>
    <w:rsid w:val="00066A33"/>
    <w:rsid w:val="0006783B"/>
    <w:rsid w:val="00067E8C"/>
    <w:rsid w:val="00071A50"/>
    <w:rsid w:val="00074EC1"/>
    <w:rsid w:val="000756CA"/>
    <w:rsid w:val="00083626"/>
    <w:rsid w:val="00084025"/>
    <w:rsid w:val="00084F68"/>
    <w:rsid w:val="000853BC"/>
    <w:rsid w:val="0008641C"/>
    <w:rsid w:val="00086A9C"/>
    <w:rsid w:val="0008707A"/>
    <w:rsid w:val="0008764B"/>
    <w:rsid w:val="00090830"/>
    <w:rsid w:val="0009197F"/>
    <w:rsid w:val="00092A67"/>
    <w:rsid w:val="00092C40"/>
    <w:rsid w:val="00093CC4"/>
    <w:rsid w:val="00094343"/>
    <w:rsid w:val="0009463A"/>
    <w:rsid w:val="0009547C"/>
    <w:rsid w:val="000968CE"/>
    <w:rsid w:val="000A0322"/>
    <w:rsid w:val="000A060B"/>
    <w:rsid w:val="000A0FE3"/>
    <w:rsid w:val="000A1D08"/>
    <w:rsid w:val="000A4048"/>
    <w:rsid w:val="000B017C"/>
    <w:rsid w:val="000B2304"/>
    <w:rsid w:val="000B65B1"/>
    <w:rsid w:val="000C01DF"/>
    <w:rsid w:val="000C1EF3"/>
    <w:rsid w:val="000C521F"/>
    <w:rsid w:val="000C5651"/>
    <w:rsid w:val="000C644D"/>
    <w:rsid w:val="000E47B6"/>
    <w:rsid w:val="000E4A42"/>
    <w:rsid w:val="000E4FE9"/>
    <w:rsid w:val="000F2A4C"/>
    <w:rsid w:val="000F40C8"/>
    <w:rsid w:val="000F69F0"/>
    <w:rsid w:val="001008F7"/>
    <w:rsid w:val="00101873"/>
    <w:rsid w:val="001032A0"/>
    <w:rsid w:val="001034F2"/>
    <w:rsid w:val="00103A8E"/>
    <w:rsid w:val="00103CDB"/>
    <w:rsid w:val="00104405"/>
    <w:rsid w:val="001108C0"/>
    <w:rsid w:val="00110BE1"/>
    <w:rsid w:val="00111C5E"/>
    <w:rsid w:val="00111DC8"/>
    <w:rsid w:val="001123EE"/>
    <w:rsid w:val="00112831"/>
    <w:rsid w:val="0011554D"/>
    <w:rsid w:val="00116240"/>
    <w:rsid w:val="0011683D"/>
    <w:rsid w:val="001169BA"/>
    <w:rsid w:val="00116DFD"/>
    <w:rsid w:val="0012219B"/>
    <w:rsid w:val="00122EFC"/>
    <w:rsid w:val="00124567"/>
    <w:rsid w:val="001247BA"/>
    <w:rsid w:val="00131256"/>
    <w:rsid w:val="001321CF"/>
    <w:rsid w:val="0013244B"/>
    <w:rsid w:val="00133289"/>
    <w:rsid w:val="001336B7"/>
    <w:rsid w:val="00133761"/>
    <w:rsid w:val="00133DA5"/>
    <w:rsid w:val="00135B50"/>
    <w:rsid w:val="00135BA6"/>
    <w:rsid w:val="0013728C"/>
    <w:rsid w:val="001401C9"/>
    <w:rsid w:val="00141A5C"/>
    <w:rsid w:val="00142438"/>
    <w:rsid w:val="00142E69"/>
    <w:rsid w:val="00143808"/>
    <w:rsid w:val="00145345"/>
    <w:rsid w:val="0014578C"/>
    <w:rsid w:val="0015187D"/>
    <w:rsid w:val="00152B91"/>
    <w:rsid w:val="00154017"/>
    <w:rsid w:val="00155D8D"/>
    <w:rsid w:val="0015724F"/>
    <w:rsid w:val="00157D24"/>
    <w:rsid w:val="00160ABD"/>
    <w:rsid w:val="00161D2A"/>
    <w:rsid w:val="001628B7"/>
    <w:rsid w:val="00165D57"/>
    <w:rsid w:val="00167395"/>
    <w:rsid w:val="00167AAD"/>
    <w:rsid w:val="00172255"/>
    <w:rsid w:val="00175134"/>
    <w:rsid w:val="001755E8"/>
    <w:rsid w:val="0017660B"/>
    <w:rsid w:val="001837DA"/>
    <w:rsid w:val="00184AD0"/>
    <w:rsid w:val="00185EB6"/>
    <w:rsid w:val="00194C32"/>
    <w:rsid w:val="00197779"/>
    <w:rsid w:val="001A16DF"/>
    <w:rsid w:val="001A342A"/>
    <w:rsid w:val="001A3F7D"/>
    <w:rsid w:val="001A4B05"/>
    <w:rsid w:val="001A51FF"/>
    <w:rsid w:val="001A64DA"/>
    <w:rsid w:val="001B065F"/>
    <w:rsid w:val="001B1B3A"/>
    <w:rsid w:val="001B5457"/>
    <w:rsid w:val="001C0A8C"/>
    <w:rsid w:val="001C2B56"/>
    <w:rsid w:val="001D2D67"/>
    <w:rsid w:val="001D33A4"/>
    <w:rsid w:val="001D51EA"/>
    <w:rsid w:val="001D66E4"/>
    <w:rsid w:val="001E06F6"/>
    <w:rsid w:val="001E1732"/>
    <w:rsid w:val="001E653C"/>
    <w:rsid w:val="001F0843"/>
    <w:rsid w:val="001F097D"/>
    <w:rsid w:val="001F0B86"/>
    <w:rsid w:val="001F1A96"/>
    <w:rsid w:val="001F2938"/>
    <w:rsid w:val="001F2D5E"/>
    <w:rsid w:val="001F3828"/>
    <w:rsid w:val="001F4038"/>
    <w:rsid w:val="001F4A4C"/>
    <w:rsid w:val="002004BE"/>
    <w:rsid w:val="00201266"/>
    <w:rsid w:val="0020278F"/>
    <w:rsid w:val="00202F0B"/>
    <w:rsid w:val="00205AC0"/>
    <w:rsid w:val="00207255"/>
    <w:rsid w:val="00207506"/>
    <w:rsid w:val="00211275"/>
    <w:rsid w:val="002119A0"/>
    <w:rsid w:val="00212874"/>
    <w:rsid w:val="00216D69"/>
    <w:rsid w:val="002200D8"/>
    <w:rsid w:val="00233095"/>
    <w:rsid w:val="002331CF"/>
    <w:rsid w:val="002336FA"/>
    <w:rsid w:val="00234410"/>
    <w:rsid w:val="002355F3"/>
    <w:rsid w:val="002365D8"/>
    <w:rsid w:val="00240BD0"/>
    <w:rsid w:val="00240F8B"/>
    <w:rsid w:val="00242049"/>
    <w:rsid w:val="0024250F"/>
    <w:rsid w:val="0024319B"/>
    <w:rsid w:val="00243421"/>
    <w:rsid w:val="00250177"/>
    <w:rsid w:val="00260DE7"/>
    <w:rsid w:val="00261E63"/>
    <w:rsid w:val="002625F5"/>
    <w:rsid w:val="0026512B"/>
    <w:rsid w:val="00270B76"/>
    <w:rsid w:val="002724BD"/>
    <w:rsid w:val="00272A8B"/>
    <w:rsid w:val="00272E03"/>
    <w:rsid w:val="00275427"/>
    <w:rsid w:val="00276D02"/>
    <w:rsid w:val="00284499"/>
    <w:rsid w:val="002945CB"/>
    <w:rsid w:val="00296071"/>
    <w:rsid w:val="002961ED"/>
    <w:rsid w:val="002975E8"/>
    <w:rsid w:val="00297793"/>
    <w:rsid w:val="002A33C3"/>
    <w:rsid w:val="002A4852"/>
    <w:rsid w:val="002A4EF5"/>
    <w:rsid w:val="002A7EEA"/>
    <w:rsid w:val="002B14DA"/>
    <w:rsid w:val="002B22D0"/>
    <w:rsid w:val="002B22D1"/>
    <w:rsid w:val="002B47C0"/>
    <w:rsid w:val="002B628F"/>
    <w:rsid w:val="002B6AF8"/>
    <w:rsid w:val="002C04FC"/>
    <w:rsid w:val="002C4C3E"/>
    <w:rsid w:val="002D00A1"/>
    <w:rsid w:val="002D2EE1"/>
    <w:rsid w:val="002D3090"/>
    <w:rsid w:val="002D514C"/>
    <w:rsid w:val="002E3A31"/>
    <w:rsid w:val="002E5FF6"/>
    <w:rsid w:val="002F0AD6"/>
    <w:rsid w:val="002F6AD2"/>
    <w:rsid w:val="002F77A2"/>
    <w:rsid w:val="002F7DE1"/>
    <w:rsid w:val="003004D4"/>
    <w:rsid w:val="003008AD"/>
    <w:rsid w:val="00301A28"/>
    <w:rsid w:val="003037C6"/>
    <w:rsid w:val="003059A5"/>
    <w:rsid w:val="00312CE2"/>
    <w:rsid w:val="00314CA7"/>
    <w:rsid w:val="00316030"/>
    <w:rsid w:val="0031660A"/>
    <w:rsid w:val="003166F9"/>
    <w:rsid w:val="0031675E"/>
    <w:rsid w:val="0032044B"/>
    <w:rsid w:val="00322C3E"/>
    <w:rsid w:val="00324F3D"/>
    <w:rsid w:val="00325630"/>
    <w:rsid w:val="0033066D"/>
    <w:rsid w:val="00332389"/>
    <w:rsid w:val="00334944"/>
    <w:rsid w:val="00340D12"/>
    <w:rsid w:val="003420C2"/>
    <w:rsid w:val="0034214E"/>
    <w:rsid w:val="003431A4"/>
    <w:rsid w:val="00343F9B"/>
    <w:rsid w:val="003456E3"/>
    <w:rsid w:val="003551A2"/>
    <w:rsid w:val="0035797B"/>
    <w:rsid w:val="00363C65"/>
    <w:rsid w:val="003642BA"/>
    <w:rsid w:val="003669F0"/>
    <w:rsid w:val="003671AD"/>
    <w:rsid w:val="00371777"/>
    <w:rsid w:val="00373F2B"/>
    <w:rsid w:val="00381A83"/>
    <w:rsid w:val="00381AE5"/>
    <w:rsid w:val="003847F1"/>
    <w:rsid w:val="003856D2"/>
    <w:rsid w:val="0038623D"/>
    <w:rsid w:val="00387FBA"/>
    <w:rsid w:val="0039328B"/>
    <w:rsid w:val="00396E7A"/>
    <w:rsid w:val="003A1906"/>
    <w:rsid w:val="003A376E"/>
    <w:rsid w:val="003A4B4A"/>
    <w:rsid w:val="003A62FB"/>
    <w:rsid w:val="003B01D1"/>
    <w:rsid w:val="003B2D85"/>
    <w:rsid w:val="003B3DF3"/>
    <w:rsid w:val="003B6633"/>
    <w:rsid w:val="003C0944"/>
    <w:rsid w:val="003C0AEC"/>
    <w:rsid w:val="003D0633"/>
    <w:rsid w:val="003D1498"/>
    <w:rsid w:val="003E32FD"/>
    <w:rsid w:val="003E34ED"/>
    <w:rsid w:val="003E6E51"/>
    <w:rsid w:val="003E7B9B"/>
    <w:rsid w:val="003F1A9C"/>
    <w:rsid w:val="003F21EF"/>
    <w:rsid w:val="003F2A23"/>
    <w:rsid w:val="003F599E"/>
    <w:rsid w:val="003F7E75"/>
    <w:rsid w:val="004007B1"/>
    <w:rsid w:val="00400924"/>
    <w:rsid w:val="0040419E"/>
    <w:rsid w:val="004050C5"/>
    <w:rsid w:val="004067F5"/>
    <w:rsid w:val="00406CC2"/>
    <w:rsid w:val="0041015E"/>
    <w:rsid w:val="0041112D"/>
    <w:rsid w:val="00414CC5"/>
    <w:rsid w:val="0041506B"/>
    <w:rsid w:val="004167DB"/>
    <w:rsid w:val="004230D0"/>
    <w:rsid w:val="00424383"/>
    <w:rsid w:val="00426164"/>
    <w:rsid w:val="004304CF"/>
    <w:rsid w:val="0043197F"/>
    <w:rsid w:val="00436289"/>
    <w:rsid w:val="00436EC5"/>
    <w:rsid w:val="004444E3"/>
    <w:rsid w:val="00445515"/>
    <w:rsid w:val="00445767"/>
    <w:rsid w:val="004472A9"/>
    <w:rsid w:val="004475F2"/>
    <w:rsid w:val="00447F7C"/>
    <w:rsid w:val="004503C5"/>
    <w:rsid w:val="00454E5C"/>
    <w:rsid w:val="00461FB4"/>
    <w:rsid w:val="00464BCA"/>
    <w:rsid w:val="004713A4"/>
    <w:rsid w:val="00471F02"/>
    <w:rsid w:val="00471F5A"/>
    <w:rsid w:val="00473798"/>
    <w:rsid w:val="00482B04"/>
    <w:rsid w:val="0048344A"/>
    <w:rsid w:val="0048415E"/>
    <w:rsid w:val="004849FC"/>
    <w:rsid w:val="00484B7B"/>
    <w:rsid w:val="0048656A"/>
    <w:rsid w:val="004919C4"/>
    <w:rsid w:val="0049501D"/>
    <w:rsid w:val="004A0247"/>
    <w:rsid w:val="004A077F"/>
    <w:rsid w:val="004A6EEB"/>
    <w:rsid w:val="004A7322"/>
    <w:rsid w:val="004B42BF"/>
    <w:rsid w:val="004B6AFA"/>
    <w:rsid w:val="004C4301"/>
    <w:rsid w:val="004C46E7"/>
    <w:rsid w:val="004D0372"/>
    <w:rsid w:val="004D0BEA"/>
    <w:rsid w:val="004D1EAE"/>
    <w:rsid w:val="004D2112"/>
    <w:rsid w:val="004D2B68"/>
    <w:rsid w:val="004D2D7D"/>
    <w:rsid w:val="004D64C2"/>
    <w:rsid w:val="004E1902"/>
    <w:rsid w:val="004E42AB"/>
    <w:rsid w:val="004F00C8"/>
    <w:rsid w:val="004F0161"/>
    <w:rsid w:val="004F2F3D"/>
    <w:rsid w:val="004F32F4"/>
    <w:rsid w:val="004F5FE1"/>
    <w:rsid w:val="005022A0"/>
    <w:rsid w:val="00503BF3"/>
    <w:rsid w:val="005109CE"/>
    <w:rsid w:val="00510E35"/>
    <w:rsid w:val="00517E7C"/>
    <w:rsid w:val="00524D2E"/>
    <w:rsid w:val="00525CD4"/>
    <w:rsid w:val="0052630C"/>
    <w:rsid w:val="00526A9E"/>
    <w:rsid w:val="005279E5"/>
    <w:rsid w:val="00530EDE"/>
    <w:rsid w:val="00533426"/>
    <w:rsid w:val="00536DF2"/>
    <w:rsid w:val="00540A0B"/>
    <w:rsid w:val="00540C0D"/>
    <w:rsid w:val="00541F83"/>
    <w:rsid w:val="00542849"/>
    <w:rsid w:val="0054420D"/>
    <w:rsid w:val="00545BE3"/>
    <w:rsid w:val="00550779"/>
    <w:rsid w:val="005628AB"/>
    <w:rsid w:val="005635AC"/>
    <w:rsid w:val="005638AA"/>
    <w:rsid w:val="00565D31"/>
    <w:rsid w:val="0057462A"/>
    <w:rsid w:val="00575993"/>
    <w:rsid w:val="00576D5E"/>
    <w:rsid w:val="0057712A"/>
    <w:rsid w:val="00580116"/>
    <w:rsid w:val="00580405"/>
    <w:rsid w:val="00582171"/>
    <w:rsid w:val="0058264E"/>
    <w:rsid w:val="00584552"/>
    <w:rsid w:val="0058593B"/>
    <w:rsid w:val="005902FF"/>
    <w:rsid w:val="00590717"/>
    <w:rsid w:val="00591595"/>
    <w:rsid w:val="00596DF8"/>
    <w:rsid w:val="00597226"/>
    <w:rsid w:val="005A34CB"/>
    <w:rsid w:val="005A46E4"/>
    <w:rsid w:val="005A67C7"/>
    <w:rsid w:val="005A794B"/>
    <w:rsid w:val="005B6A63"/>
    <w:rsid w:val="005B6F74"/>
    <w:rsid w:val="005C0975"/>
    <w:rsid w:val="005C173A"/>
    <w:rsid w:val="005C338F"/>
    <w:rsid w:val="005C4A20"/>
    <w:rsid w:val="005C4B02"/>
    <w:rsid w:val="005C6CC4"/>
    <w:rsid w:val="005D0837"/>
    <w:rsid w:val="005D0AB1"/>
    <w:rsid w:val="005D4B48"/>
    <w:rsid w:val="005D63FC"/>
    <w:rsid w:val="005D6730"/>
    <w:rsid w:val="005D6F72"/>
    <w:rsid w:val="005D79AE"/>
    <w:rsid w:val="005E43A6"/>
    <w:rsid w:val="005E4777"/>
    <w:rsid w:val="005E4B7C"/>
    <w:rsid w:val="005E4F18"/>
    <w:rsid w:val="005E70C2"/>
    <w:rsid w:val="005E738D"/>
    <w:rsid w:val="005E7A77"/>
    <w:rsid w:val="005F1A3C"/>
    <w:rsid w:val="005F7783"/>
    <w:rsid w:val="00603770"/>
    <w:rsid w:val="00606C6C"/>
    <w:rsid w:val="00611C5A"/>
    <w:rsid w:val="00615F15"/>
    <w:rsid w:val="00626B03"/>
    <w:rsid w:val="00627027"/>
    <w:rsid w:val="00633C01"/>
    <w:rsid w:val="00634179"/>
    <w:rsid w:val="00635201"/>
    <w:rsid w:val="006443CB"/>
    <w:rsid w:val="00644A6B"/>
    <w:rsid w:val="006458F5"/>
    <w:rsid w:val="0065246F"/>
    <w:rsid w:val="00657DF3"/>
    <w:rsid w:val="00664A8D"/>
    <w:rsid w:val="00666051"/>
    <w:rsid w:val="00666BAA"/>
    <w:rsid w:val="0066732B"/>
    <w:rsid w:val="006710DF"/>
    <w:rsid w:val="00672A56"/>
    <w:rsid w:val="00673595"/>
    <w:rsid w:val="0067450B"/>
    <w:rsid w:val="00676F94"/>
    <w:rsid w:val="00695F56"/>
    <w:rsid w:val="006A275B"/>
    <w:rsid w:val="006A2E4E"/>
    <w:rsid w:val="006A56D4"/>
    <w:rsid w:val="006A7160"/>
    <w:rsid w:val="006A7413"/>
    <w:rsid w:val="006B0278"/>
    <w:rsid w:val="006B07A8"/>
    <w:rsid w:val="006B0F4F"/>
    <w:rsid w:val="006B3D5E"/>
    <w:rsid w:val="006B44DA"/>
    <w:rsid w:val="006B5D59"/>
    <w:rsid w:val="006B7937"/>
    <w:rsid w:val="006C189F"/>
    <w:rsid w:val="006C583B"/>
    <w:rsid w:val="006D03FF"/>
    <w:rsid w:val="006D5085"/>
    <w:rsid w:val="006D56A7"/>
    <w:rsid w:val="006D74E2"/>
    <w:rsid w:val="006E6746"/>
    <w:rsid w:val="006F2070"/>
    <w:rsid w:val="006F44FD"/>
    <w:rsid w:val="00705E7B"/>
    <w:rsid w:val="00705EC6"/>
    <w:rsid w:val="00710849"/>
    <w:rsid w:val="007109AF"/>
    <w:rsid w:val="00713168"/>
    <w:rsid w:val="00714EA5"/>
    <w:rsid w:val="00716E57"/>
    <w:rsid w:val="00717133"/>
    <w:rsid w:val="00720847"/>
    <w:rsid w:val="0072091D"/>
    <w:rsid w:val="00720E48"/>
    <w:rsid w:val="00732DA2"/>
    <w:rsid w:val="00733885"/>
    <w:rsid w:val="007342AF"/>
    <w:rsid w:val="00735CED"/>
    <w:rsid w:val="00736047"/>
    <w:rsid w:val="0074005A"/>
    <w:rsid w:val="00740641"/>
    <w:rsid w:val="00743717"/>
    <w:rsid w:val="00745CA9"/>
    <w:rsid w:val="00745F06"/>
    <w:rsid w:val="00752C09"/>
    <w:rsid w:val="0075570F"/>
    <w:rsid w:val="00756FFD"/>
    <w:rsid w:val="00757860"/>
    <w:rsid w:val="007626EC"/>
    <w:rsid w:val="00773F2B"/>
    <w:rsid w:val="00775987"/>
    <w:rsid w:val="00782AEC"/>
    <w:rsid w:val="00784126"/>
    <w:rsid w:val="00796DDD"/>
    <w:rsid w:val="007A2ABA"/>
    <w:rsid w:val="007A469C"/>
    <w:rsid w:val="007A5424"/>
    <w:rsid w:val="007A717A"/>
    <w:rsid w:val="007B14F4"/>
    <w:rsid w:val="007B35B0"/>
    <w:rsid w:val="007C4397"/>
    <w:rsid w:val="007C44A2"/>
    <w:rsid w:val="007D2FCD"/>
    <w:rsid w:val="007D5A2E"/>
    <w:rsid w:val="007D5F49"/>
    <w:rsid w:val="007D6F8D"/>
    <w:rsid w:val="007D7B24"/>
    <w:rsid w:val="007E04E3"/>
    <w:rsid w:val="007E0E29"/>
    <w:rsid w:val="007E6542"/>
    <w:rsid w:val="007F0CDF"/>
    <w:rsid w:val="007F1D96"/>
    <w:rsid w:val="007F58AA"/>
    <w:rsid w:val="007F5F22"/>
    <w:rsid w:val="007F6329"/>
    <w:rsid w:val="0080119B"/>
    <w:rsid w:val="00801E7D"/>
    <w:rsid w:val="00804F9A"/>
    <w:rsid w:val="00806F69"/>
    <w:rsid w:val="008070C6"/>
    <w:rsid w:val="0081075C"/>
    <w:rsid w:val="008152F5"/>
    <w:rsid w:val="008159D4"/>
    <w:rsid w:val="008164D3"/>
    <w:rsid w:val="00816F82"/>
    <w:rsid w:val="00821979"/>
    <w:rsid w:val="008274D3"/>
    <w:rsid w:val="00830EFA"/>
    <w:rsid w:val="0083437E"/>
    <w:rsid w:val="0083498F"/>
    <w:rsid w:val="008355C8"/>
    <w:rsid w:val="0083581E"/>
    <w:rsid w:val="008378C2"/>
    <w:rsid w:val="00840089"/>
    <w:rsid w:val="008406DD"/>
    <w:rsid w:val="008410AA"/>
    <w:rsid w:val="00841AC5"/>
    <w:rsid w:val="00841F6D"/>
    <w:rsid w:val="00845427"/>
    <w:rsid w:val="00845593"/>
    <w:rsid w:val="00845715"/>
    <w:rsid w:val="00845C10"/>
    <w:rsid w:val="008477AE"/>
    <w:rsid w:val="0085724C"/>
    <w:rsid w:val="00861263"/>
    <w:rsid w:val="00861FF5"/>
    <w:rsid w:val="00862D91"/>
    <w:rsid w:val="008640C4"/>
    <w:rsid w:val="008641EF"/>
    <w:rsid w:val="008655FA"/>
    <w:rsid w:val="00865DF0"/>
    <w:rsid w:val="00874959"/>
    <w:rsid w:val="0087635E"/>
    <w:rsid w:val="008859F2"/>
    <w:rsid w:val="00887104"/>
    <w:rsid w:val="00887D11"/>
    <w:rsid w:val="00887DEA"/>
    <w:rsid w:val="0089566A"/>
    <w:rsid w:val="00897643"/>
    <w:rsid w:val="008A6E48"/>
    <w:rsid w:val="008B13E7"/>
    <w:rsid w:val="008B16A8"/>
    <w:rsid w:val="008B30CC"/>
    <w:rsid w:val="008B6B19"/>
    <w:rsid w:val="008B79C2"/>
    <w:rsid w:val="008C08E3"/>
    <w:rsid w:val="008C1732"/>
    <w:rsid w:val="008C1CFF"/>
    <w:rsid w:val="008C2320"/>
    <w:rsid w:val="008C2B9E"/>
    <w:rsid w:val="008C39FB"/>
    <w:rsid w:val="008C78D9"/>
    <w:rsid w:val="008D2491"/>
    <w:rsid w:val="008D60E5"/>
    <w:rsid w:val="008E005B"/>
    <w:rsid w:val="008E1C94"/>
    <w:rsid w:val="008E2493"/>
    <w:rsid w:val="008E4890"/>
    <w:rsid w:val="008E7F86"/>
    <w:rsid w:val="008F038E"/>
    <w:rsid w:val="008F1493"/>
    <w:rsid w:val="008F3555"/>
    <w:rsid w:val="008F4194"/>
    <w:rsid w:val="008F4A44"/>
    <w:rsid w:val="008F6370"/>
    <w:rsid w:val="00903604"/>
    <w:rsid w:val="0090503A"/>
    <w:rsid w:val="00905CA9"/>
    <w:rsid w:val="00906338"/>
    <w:rsid w:val="00906992"/>
    <w:rsid w:val="009103A5"/>
    <w:rsid w:val="00912571"/>
    <w:rsid w:val="00912716"/>
    <w:rsid w:val="00913729"/>
    <w:rsid w:val="00914733"/>
    <w:rsid w:val="00915384"/>
    <w:rsid w:val="00920006"/>
    <w:rsid w:val="0092305C"/>
    <w:rsid w:val="00923BEA"/>
    <w:rsid w:val="009277F6"/>
    <w:rsid w:val="009327C0"/>
    <w:rsid w:val="00933B6A"/>
    <w:rsid w:val="009363FB"/>
    <w:rsid w:val="00937251"/>
    <w:rsid w:val="00937847"/>
    <w:rsid w:val="009378BA"/>
    <w:rsid w:val="00937AFB"/>
    <w:rsid w:val="0094122A"/>
    <w:rsid w:val="009473B0"/>
    <w:rsid w:val="009500DD"/>
    <w:rsid w:val="009507E8"/>
    <w:rsid w:val="00952E01"/>
    <w:rsid w:val="00952F54"/>
    <w:rsid w:val="0095502C"/>
    <w:rsid w:val="0095637B"/>
    <w:rsid w:val="009605B7"/>
    <w:rsid w:val="00960E3A"/>
    <w:rsid w:val="00961A71"/>
    <w:rsid w:val="0096406E"/>
    <w:rsid w:val="00964A35"/>
    <w:rsid w:val="00974182"/>
    <w:rsid w:val="00974D64"/>
    <w:rsid w:val="00980BA5"/>
    <w:rsid w:val="00980C18"/>
    <w:rsid w:val="009811F8"/>
    <w:rsid w:val="009829EC"/>
    <w:rsid w:val="00987029"/>
    <w:rsid w:val="009902D2"/>
    <w:rsid w:val="00991CE3"/>
    <w:rsid w:val="009921E0"/>
    <w:rsid w:val="009941C3"/>
    <w:rsid w:val="00994A55"/>
    <w:rsid w:val="009970AD"/>
    <w:rsid w:val="009A063A"/>
    <w:rsid w:val="009A1DA2"/>
    <w:rsid w:val="009A4D94"/>
    <w:rsid w:val="009A5B1B"/>
    <w:rsid w:val="009A6855"/>
    <w:rsid w:val="009B2A33"/>
    <w:rsid w:val="009B2ED7"/>
    <w:rsid w:val="009B5FD6"/>
    <w:rsid w:val="009B760E"/>
    <w:rsid w:val="009C68C5"/>
    <w:rsid w:val="009D2379"/>
    <w:rsid w:val="009D30D8"/>
    <w:rsid w:val="009D6A99"/>
    <w:rsid w:val="009E0926"/>
    <w:rsid w:val="009E144D"/>
    <w:rsid w:val="009E3E5A"/>
    <w:rsid w:val="009E5550"/>
    <w:rsid w:val="009E5A8E"/>
    <w:rsid w:val="00A001C7"/>
    <w:rsid w:val="00A022E0"/>
    <w:rsid w:val="00A023B4"/>
    <w:rsid w:val="00A02E63"/>
    <w:rsid w:val="00A1093F"/>
    <w:rsid w:val="00A113C7"/>
    <w:rsid w:val="00A15070"/>
    <w:rsid w:val="00A20CE6"/>
    <w:rsid w:val="00A23AC3"/>
    <w:rsid w:val="00A361D4"/>
    <w:rsid w:val="00A365BD"/>
    <w:rsid w:val="00A36E61"/>
    <w:rsid w:val="00A424EC"/>
    <w:rsid w:val="00A42CAD"/>
    <w:rsid w:val="00A44E0F"/>
    <w:rsid w:val="00A45907"/>
    <w:rsid w:val="00A465F2"/>
    <w:rsid w:val="00A47902"/>
    <w:rsid w:val="00A50738"/>
    <w:rsid w:val="00A533EB"/>
    <w:rsid w:val="00A53519"/>
    <w:rsid w:val="00A53E1F"/>
    <w:rsid w:val="00A54DAB"/>
    <w:rsid w:val="00A5548E"/>
    <w:rsid w:val="00A57C7A"/>
    <w:rsid w:val="00A6090B"/>
    <w:rsid w:val="00A62A8B"/>
    <w:rsid w:val="00A70D66"/>
    <w:rsid w:val="00A719DC"/>
    <w:rsid w:val="00A74885"/>
    <w:rsid w:val="00A77D36"/>
    <w:rsid w:val="00A81B21"/>
    <w:rsid w:val="00A8258E"/>
    <w:rsid w:val="00A82FC1"/>
    <w:rsid w:val="00A861BA"/>
    <w:rsid w:val="00A86504"/>
    <w:rsid w:val="00A87E4C"/>
    <w:rsid w:val="00A9154C"/>
    <w:rsid w:val="00A93109"/>
    <w:rsid w:val="00A94FC7"/>
    <w:rsid w:val="00A9557D"/>
    <w:rsid w:val="00A963C0"/>
    <w:rsid w:val="00A9641B"/>
    <w:rsid w:val="00AA1DC2"/>
    <w:rsid w:val="00AA495C"/>
    <w:rsid w:val="00AA54F6"/>
    <w:rsid w:val="00AA5C4A"/>
    <w:rsid w:val="00AB3058"/>
    <w:rsid w:val="00AB392F"/>
    <w:rsid w:val="00AB7C99"/>
    <w:rsid w:val="00AC5A93"/>
    <w:rsid w:val="00AD18D7"/>
    <w:rsid w:val="00AD337E"/>
    <w:rsid w:val="00AD4560"/>
    <w:rsid w:val="00AE2645"/>
    <w:rsid w:val="00AE5155"/>
    <w:rsid w:val="00AE569E"/>
    <w:rsid w:val="00AE7528"/>
    <w:rsid w:val="00AF1A9B"/>
    <w:rsid w:val="00AF2174"/>
    <w:rsid w:val="00AF42F3"/>
    <w:rsid w:val="00B01E55"/>
    <w:rsid w:val="00B020AF"/>
    <w:rsid w:val="00B03737"/>
    <w:rsid w:val="00B14382"/>
    <w:rsid w:val="00B1685E"/>
    <w:rsid w:val="00B1706D"/>
    <w:rsid w:val="00B25A07"/>
    <w:rsid w:val="00B27002"/>
    <w:rsid w:val="00B2791E"/>
    <w:rsid w:val="00B30612"/>
    <w:rsid w:val="00B30BFF"/>
    <w:rsid w:val="00B326D3"/>
    <w:rsid w:val="00B3427A"/>
    <w:rsid w:val="00B35AA4"/>
    <w:rsid w:val="00B364A1"/>
    <w:rsid w:val="00B423A9"/>
    <w:rsid w:val="00B43614"/>
    <w:rsid w:val="00B44B3E"/>
    <w:rsid w:val="00B455F5"/>
    <w:rsid w:val="00B47BD6"/>
    <w:rsid w:val="00B51653"/>
    <w:rsid w:val="00B53A31"/>
    <w:rsid w:val="00B54FA6"/>
    <w:rsid w:val="00B6023F"/>
    <w:rsid w:val="00B611F1"/>
    <w:rsid w:val="00B62D56"/>
    <w:rsid w:val="00B64982"/>
    <w:rsid w:val="00B64FBB"/>
    <w:rsid w:val="00B70985"/>
    <w:rsid w:val="00B723CD"/>
    <w:rsid w:val="00B72899"/>
    <w:rsid w:val="00B73611"/>
    <w:rsid w:val="00B82D98"/>
    <w:rsid w:val="00B84237"/>
    <w:rsid w:val="00B86103"/>
    <w:rsid w:val="00B863E4"/>
    <w:rsid w:val="00B86F00"/>
    <w:rsid w:val="00B926FA"/>
    <w:rsid w:val="00B94AF8"/>
    <w:rsid w:val="00B96009"/>
    <w:rsid w:val="00BA102B"/>
    <w:rsid w:val="00BA41FC"/>
    <w:rsid w:val="00BA50B6"/>
    <w:rsid w:val="00BA6A6E"/>
    <w:rsid w:val="00BB128E"/>
    <w:rsid w:val="00BB4082"/>
    <w:rsid w:val="00BB5240"/>
    <w:rsid w:val="00BB65E5"/>
    <w:rsid w:val="00BB7EF1"/>
    <w:rsid w:val="00BC507A"/>
    <w:rsid w:val="00BD074C"/>
    <w:rsid w:val="00BD3488"/>
    <w:rsid w:val="00BD5CAA"/>
    <w:rsid w:val="00BD642A"/>
    <w:rsid w:val="00BD7402"/>
    <w:rsid w:val="00BD7E6D"/>
    <w:rsid w:val="00BE6145"/>
    <w:rsid w:val="00BF2484"/>
    <w:rsid w:val="00BF259B"/>
    <w:rsid w:val="00BF2B1A"/>
    <w:rsid w:val="00BF3CE7"/>
    <w:rsid w:val="00BF4653"/>
    <w:rsid w:val="00BF564E"/>
    <w:rsid w:val="00BF7FA6"/>
    <w:rsid w:val="00C0072D"/>
    <w:rsid w:val="00C025F5"/>
    <w:rsid w:val="00C0329D"/>
    <w:rsid w:val="00C071D6"/>
    <w:rsid w:val="00C131B6"/>
    <w:rsid w:val="00C15665"/>
    <w:rsid w:val="00C175E8"/>
    <w:rsid w:val="00C17604"/>
    <w:rsid w:val="00C20A96"/>
    <w:rsid w:val="00C20AE6"/>
    <w:rsid w:val="00C21968"/>
    <w:rsid w:val="00C22741"/>
    <w:rsid w:val="00C2417F"/>
    <w:rsid w:val="00C2795F"/>
    <w:rsid w:val="00C30B0A"/>
    <w:rsid w:val="00C3198A"/>
    <w:rsid w:val="00C34CBE"/>
    <w:rsid w:val="00C36A86"/>
    <w:rsid w:val="00C416B8"/>
    <w:rsid w:val="00C4237E"/>
    <w:rsid w:val="00C4473D"/>
    <w:rsid w:val="00C46AD3"/>
    <w:rsid w:val="00C46E13"/>
    <w:rsid w:val="00C52EEB"/>
    <w:rsid w:val="00C53D38"/>
    <w:rsid w:val="00C55E9C"/>
    <w:rsid w:val="00C61712"/>
    <w:rsid w:val="00C61E62"/>
    <w:rsid w:val="00C64005"/>
    <w:rsid w:val="00C64748"/>
    <w:rsid w:val="00C651C9"/>
    <w:rsid w:val="00C70323"/>
    <w:rsid w:val="00C70EAE"/>
    <w:rsid w:val="00C723CE"/>
    <w:rsid w:val="00C7434B"/>
    <w:rsid w:val="00C7532E"/>
    <w:rsid w:val="00C75450"/>
    <w:rsid w:val="00C80C44"/>
    <w:rsid w:val="00C80CA5"/>
    <w:rsid w:val="00C832AD"/>
    <w:rsid w:val="00C87093"/>
    <w:rsid w:val="00C87C55"/>
    <w:rsid w:val="00C90CCF"/>
    <w:rsid w:val="00C91DE8"/>
    <w:rsid w:val="00CB7103"/>
    <w:rsid w:val="00CB758F"/>
    <w:rsid w:val="00CC0376"/>
    <w:rsid w:val="00CC2741"/>
    <w:rsid w:val="00CC4FD1"/>
    <w:rsid w:val="00CC7A8E"/>
    <w:rsid w:val="00CD1574"/>
    <w:rsid w:val="00CE142C"/>
    <w:rsid w:val="00CE1FFA"/>
    <w:rsid w:val="00CE2209"/>
    <w:rsid w:val="00CE2E9D"/>
    <w:rsid w:val="00CE36F1"/>
    <w:rsid w:val="00CE4300"/>
    <w:rsid w:val="00CF199D"/>
    <w:rsid w:val="00CF1EFB"/>
    <w:rsid w:val="00CF2155"/>
    <w:rsid w:val="00CF2174"/>
    <w:rsid w:val="00CF76FD"/>
    <w:rsid w:val="00D00FD6"/>
    <w:rsid w:val="00D012C8"/>
    <w:rsid w:val="00D02516"/>
    <w:rsid w:val="00D04CF4"/>
    <w:rsid w:val="00D076AB"/>
    <w:rsid w:val="00D122CE"/>
    <w:rsid w:val="00D13B58"/>
    <w:rsid w:val="00D14D38"/>
    <w:rsid w:val="00D21F1D"/>
    <w:rsid w:val="00D222B7"/>
    <w:rsid w:val="00D268B8"/>
    <w:rsid w:val="00D27753"/>
    <w:rsid w:val="00D313F4"/>
    <w:rsid w:val="00D34288"/>
    <w:rsid w:val="00D34CBB"/>
    <w:rsid w:val="00D36DC6"/>
    <w:rsid w:val="00D37C09"/>
    <w:rsid w:val="00D40394"/>
    <w:rsid w:val="00D507B2"/>
    <w:rsid w:val="00D5308A"/>
    <w:rsid w:val="00D54F82"/>
    <w:rsid w:val="00D56647"/>
    <w:rsid w:val="00D56AB0"/>
    <w:rsid w:val="00D6290B"/>
    <w:rsid w:val="00D630CE"/>
    <w:rsid w:val="00D64A1E"/>
    <w:rsid w:val="00D65A64"/>
    <w:rsid w:val="00D66D64"/>
    <w:rsid w:val="00D7005B"/>
    <w:rsid w:val="00D73FA9"/>
    <w:rsid w:val="00D75D1F"/>
    <w:rsid w:val="00D775E8"/>
    <w:rsid w:val="00D803FD"/>
    <w:rsid w:val="00D80D09"/>
    <w:rsid w:val="00D81F2F"/>
    <w:rsid w:val="00D8562F"/>
    <w:rsid w:val="00D87063"/>
    <w:rsid w:val="00D872DE"/>
    <w:rsid w:val="00D8767C"/>
    <w:rsid w:val="00D8770B"/>
    <w:rsid w:val="00D8791F"/>
    <w:rsid w:val="00D8796D"/>
    <w:rsid w:val="00D87D91"/>
    <w:rsid w:val="00D93BA0"/>
    <w:rsid w:val="00D93EB9"/>
    <w:rsid w:val="00D96018"/>
    <w:rsid w:val="00D96CF9"/>
    <w:rsid w:val="00D9740E"/>
    <w:rsid w:val="00DA2FA6"/>
    <w:rsid w:val="00DA4B67"/>
    <w:rsid w:val="00DB1E2C"/>
    <w:rsid w:val="00DB2B11"/>
    <w:rsid w:val="00DB732D"/>
    <w:rsid w:val="00DC0997"/>
    <w:rsid w:val="00DC1B06"/>
    <w:rsid w:val="00DC292C"/>
    <w:rsid w:val="00DC34E6"/>
    <w:rsid w:val="00DC3DA4"/>
    <w:rsid w:val="00DC68F8"/>
    <w:rsid w:val="00DD1121"/>
    <w:rsid w:val="00DD1830"/>
    <w:rsid w:val="00DD2117"/>
    <w:rsid w:val="00DD3325"/>
    <w:rsid w:val="00DD42ED"/>
    <w:rsid w:val="00DD5C93"/>
    <w:rsid w:val="00DE2CA2"/>
    <w:rsid w:val="00DE7B83"/>
    <w:rsid w:val="00DF0810"/>
    <w:rsid w:val="00DF5A1B"/>
    <w:rsid w:val="00E0106E"/>
    <w:rsid w:val="00E016B6"/>
    <w:rsid w:val="00E026DD"/>
    <w:rsid w:val="00E06A7B"/>
    <w:rsid w:val="00E111BA"/>
    <w:rsid w:val="00E12984"/>
    <w:rsid w:val="00E12F2C"/>
    <w:rsid w:val="00E13659"/>
    <w:rsid w:val="00E15B89"/>
    <w:rsid w:val="00E22712"/>
    <w:rsid w:val="00E23C55"/>
    <w:rsid w:val="00E2567C"/>
    <w:rsid w:val="00E26CB6"/>
    <w:rsid w:val="00E30651"/>
    <w:rsid w:val="00E32000"/>
    <w:rsid w:val="00E348E1"/>
    <w:rsid w:val="00E35812"/>
    <w:rsid w:val="00E35E54"/>
    <w:rsid w:val="00E370E2"/>
    <w:rsid w:val="00E41663"/>
    <w:rsid w:val="00E41799"/>
    <w:rsid w:val="00E42021"/>
    <w:rsid w:val="00E4366E"/>
    <w:rsid w:val="00E45557"/>
    <w:rsid w:val="00E45B13"/>
    <w:rsid w:val="00E46F99"/>
    <w:rsid w:val="00E475B2"/>
    <w:rsid w:val="00E52AD5"/>
    <w:rsid w:val="00E54A1C"/>
    <w:rsid w:val="00E55A66"/>
    <w:rsid w:val="00E607F8"/>
    <w:rsid w:val="00E6329D"/>
    <w:rsid w:val="00E71D7A"/>
    <w:rsid w:val="00E75271"/>
    <w:rsid w:val="00E75C0E"/>
    <w:rsid w:val="00E761FE"/>
    <w:rsid w:val="00E849CC"/>
    <w:rsid w:val="00E84C69"/>
    <w:rsid w:val="00E86161"/>
    <w:rsid w:val="00E93940"/>
    <w:rsid w:val="00E9564F"/>
    <w:rsid w:val="00E96D49"/>
    <w:rsid w:val="00EA2D56"/>
    <w:rsid w:val="00EA3ABF"/>
    <w:rsid w:val="00EA43C0"/>
    <w:rsid w:val="00EA47ED"/>
    <w:rsid w:val="00EA50E2"/>
    <w:rsid w:val="00EA6B60"/>
    <w:rsid w:val="00EA7B19"/>
    <w:rsid w:val="00EB4067"/>
    <w:rsid w:val="00EB460D"/>
    <w:rsid w:val="00EB5CD4"/>
    <w:rsid w:val="00EC06D2"/>
    <w:rsid w:val="00EC1242"/>
    <w:rsid w:val="00EC4C8F"/>
    <w:rsid w:val="00EC6C77"/>
    <w:rsid w:val="00ED082D"/>
    <w:rsid w:val="00ED25CD"/>
    <w:rsid w:val="00EE0D50"/>
    <w:rsid w:val="00EE1BB5"/>
    <w:rsid w:val="00EE601C"/>
    <w:rsid w:val="00EE692A"/>
    <w:rsid w:val="00EE7E56"/>
    <w:rsid w:val="00EF35C9"/>
    <w:rsid w:val="00EF379D"/>
    <w:rsid w:val="00EF6A2E"/>
    <w:rsid w:val="00F00744"/>
    <w:rsid w:val="00F01FC5"/>
    <w:rsid w:val="00F059D1"/>
    <w:rsid w:val="00F05DF8"/>
    <w:rsid w:val="00F10C32"/>
    <w:rsid w:val="00F11ECB"/>
    <w:rsid w:val="00F127FE"/>
    <w:rsid w:val="00F153FD"/>
    <w:rsid w:val="00F16EDF"/>
    <w:rsid w:val="00F177CF"/>
    <w:rsid w:val="00F17BC7"/>
    <w:rsid w:val="00F22644"/>
    <w:rsid w:val="00F23C2E"/>
    <w:rsid w:val="00F24B66"/>
    <w:rsid w:val="00F2523F"/>
    <w:rsid w:val="00F319BB"/>
    <w:rsid w:val="00F33DA9"/>
    <w:rsid w:val="00F33E8E"/>
    <w:rsid w:val="00F35EB5"/>
    <w:rsid w:val="00F401C9"/>
    <w:rsid w:val="00F412BC"/>
    <w:rsid w:val="00F42840"/>
    <w:rsid w:val="00F42D61"/>
    <w:rsid w:val="00F50A07"/>
    <w:rsid w:val="00F50F1D"/>
    <w:rsid w:val="00F55FEC"/>
    <w:rsid w:val="00F562FE"/>
    <w:rsid w:val="00F604BC"/>
    <w:rsid w:val="00F6269A"/>
    <w:rsid w:val="00F64276"/>
    <w:rsid w:val="00F71590"/>
    <w:rsid w:val="00F71A99"/>
    <w:rsid w:val="00F72CFD"/>
    <w:rsid w:val="00F77469"/>
    <w:rsid w:val="00F77892"/>
    <w:rsid w:val="00F81748"/>
    <w:rsid w:val="00F82738"/>
    <w:rsid w:val="00F82B4F"/>
    <w:rsid w:val="00F8599C"/>
    <w:rsid w:val="00F863CC"/>
    <w:rsid w:val="00F86B03"/>
    <w:rsid w:val="00F91BF2"/>
    <w:rsid w:val="00F92B47"/>
    <w:rsid w:val="00F935A0"/>
    <w:rsid w:val="00F9454A"/>
    <w:rsid w:val="00F95668"/>
    <w:rsid w:val="00F96F0D"/>
    <w:rsid w:val="00FA276E"/>
    <w:rsid w:val="00FA2C58"/>
    <w:rsid w:val="00FA6144"/>
    <w:rsid w:val="00FA6901"/>
    <w:rsid w:val="00FA7177"/>
    <w:rsid w:val="00FB3D61"/>
    <w:rsid w:val="00FB5E5D"/>
    <w:rsid w:val="00FB646E"/>
    <w:rsid w:val="00FC084D"/>
    <w:rsid w:val="00FC2080"/>
    <w:rsid w:val="00FC27DF"/>
    <w:rsid w:val="00FC5389"/>
    <w:rsid w:val="00FC713C"/>
    <w:rsid w:val="00FD0511"/>
    <w:rsid w:val="00FD5A39"/>
    <w:rsid w:val="00FD713C"/>
    <w:rsid w:val="00FE0241"/>
    <w:rsid w:val="00FE27B8"/>
    <w:rsid w:val="00FE4284"/>
    <w:rsid w:val="00FE5C99"/>
    <w:rsid w:val="00FF5882"/>
    <w:rsid w:val="00FF7A0D"/>
    <w:rsid w:val="0221C0A7"/>
    <w:rsid w:val="0352BD22"/>
    <w:rsid w:val="03D1964C"/>
    <w:rsid w:val="0437AAFC"/>
    <w:rsid w:val="064F2332"/>
    <w:rsid w:val="06BF50CA"/>
    <w:rsid w:val="09CFC4A8"/>
    <w:rsid w:val="0AA6EC80"/>
    <w:rsid w:val="0B8A4F61"/>
    <w:rsid w:val="1029C592"/>
    <w:rsid w:val="10FA324F"/>
    <w:rsid w:val="10FD05A7"/>
    <w:rsid w:val="118998A3"/>
    <w:rsid w:val="120A7E9B"/>
    <w:rsid w:val="1275DFC4"/>
    <w:rsid w:val="12803C1C"/>
    <w:rsid w:val="12DC9E07"/>
    <w:rsid w:val="17B55082"/>
    <w:rsid w:val="1997623F"/>
    <w:rsid w:val="1A33DDC6"/>
    <w:rsid w:val="20B499E2"/>
    <w:rsid w:val="20B63137"/>
    <w:rsid w:val="21859B90"/>
    <w:rsid w:val="21AA61AA"/>
    <w:rsid w:val="24E2026C"/>
    <w:rsid w:val="25C4EF2F"/>
    <w:rsid w:val="283788BC"/>
    <w:rsid w:val="2A17C0C0"/>
    <w:rsid w:val="2B61C6FC"/>
    <w:rsid w:val="2D63CE1F"/>
    <w:rsid w:val="2E186CF2"/>
    <w:rsid w:val="2E66D290"/>
    <w:rsid w:val="2F1848B4"/>
    <w:rsid w:val="2FC81919"/>
    <w:rsid w:val="300B71F5"/>
    <w:rsid w:val="3024B513"/>
    <w:rsid w:val="30C919DF"/>
    <w:rsid w:val="31A75D17"/>
    <w:rsid w:val="32162D72"/>
    <w:rsid w:val="33B0FA78"/>
    <w:rsid w:val="33B64166"/>
    <w:rsid w:val="341D1323"/>
    <w:rsid w:val="34937B25"/>
    <w:rsid w:val="34BFAF59"/>
    <w:rsid w:val="357F0D8D"/>
    <w:rsid w:val="359E3B66"/>
    <w:rsid w:val="3684A48E"/>
    <w:rsid w:val="36DD1B6B"/>
    <w:rsid w:val="39B01DAF"/>
    <w:rsid w:val="3B12F288"/>
    <w:rsid w:val="3B93ED0F"/>
    <w:rsid w:val="3B9BD6B6"/>
    <w:rsid w:val="3DA38214"/>
    <w:rsid w:val="40B95489"/>
    <w:rsid w:val="437CDB75"/>
    <w:rsid w:val="45701E7C"/>
    <w:rsid w:val="472F977B"/>
    <w:rsid w:val="47B2D890"/>
    <w:rsid w:val="49D0804C"/>
    <w:rsid w:val="4A473A1A"/>
    <w:rsid w:val="4C938685"/>
    <w:rsid w:val="4D08210E"/>
    <w:rsid w:val="4E628999"/>
    <w:rsid w:val="5176E720"/>
    <w:rsid w:val="5274B8D4"/>
    <w:rsid w:val="527C0BB8"/>
    <w:rsid w:val="529613FE"/>
    <w:rsid w:val="532BDFDE"/>
    <w:rsid w:val="541D77C2"/>
    <w:rsid w:val="54B10F05"/>
    <w:rsid w:val="55BF8F5E"/>
    <w:rsid w:val="578E5E6A"/>
    <w:rsid w:val="585E6FFA"/>
    <w:rsid w:val="5958601A"/>
    <w:rsid w:val="5981F905"/>
    <w:rsid w:val="5A7390E9"/>
    <w:rsid w:val="5BB379C3"/>
    <w:rsid w:val="5C5D0F0D"/>
    <w:rsid w:val="5CC9CFA6"/>
    <w:rsid w:val="5F30840C"/>
    <w:rsid w:val="605F276C"/>
    <w:rsid w:val="646820F2"/>
    <w:rsid w:val="660383D3"/>
    <w:rsid w:val="686C8F3F"/>
    <w:rsid w:val="6B198B9D"/>
    <w:rsid w:val="6B19DA20"/>
    <w:rsid w:val="6C41D06B"/>
    <w:rsid w:val="6C83C633"/>
    <w:rsid w:val="6EF80608"/>
    <w:rsid w:val="6FF4C2F4"/>
    <w:rsid w:val="700F4BD9"/>
    <w:rsid w:val="71E9004D"/>
    <w:rsid w:val="7814D209"/>
    <w:rsid w:val="783707A9"/>
    <w:rsid w:val="7A2C5075"/>
    <w:rsid w:val="7B6E5298"/>
    <w:rsid w:val="7CB615DD"/>
    <w:rsid w:val="7CBC5E28"/>
    <w:rsid w:val="7FC44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1C061"/>
  <w15:chartTrackingRefBased/>
  <w15:docId w15:val="{77CB35AE-CE60-42B5-824C-F6C37056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rsid w:val="00EA6B60"/>
    <w:pPr>
      <w:keepNext/>
      <w:outlineLvl w:val="0"/>
    </w:pPr>
    <w:rPr>
      <w:rFonts w:ascii="Times New Roman" w:hAnsi="Times New Roman"/>
      <w:b/>
      <w:bCs/>
      <w:lang w:eastAsia="en-US"/>
    </w:rPr>
  </w:style>
  <w:style w:type="paragraph" w:styleId="Heading2">
    <w:name w:val="heading 2"/>
    <w:basedOn w:val="Normal"/>
    <w:next w:val="Normal"/>
    <w:qFormat/>
    <w:rsid w:val="00EA6B60"/>
    <w:pPr>
      <w:keepNext/>
      <w:outlineLvl w:val="1"/>
    </w:pPr>
    <w:rPr>
      <w:rFonts w:cs="Arial"/>
      <w:b/>
      <w:bCs/>
      <w:u w:val="single"/>
      <w:lang w:eastAsia="en-US"/>
    </w:rPr>
  </w:style>
  <w:style w:type="paragraph" w:styleId="Heading3">
    <w:name w:val="heading 3"/>
    <w:basedOn w:val="Normal"/>
    <w:next w:val="Normal"/>
    <w:qFormat/>
    <w:rsid w:val="00EA6B60"/>
    <w:pPr>
      <w:keepNext/>
      <w:ind w:left="720" w:hanging="720"/>
      <w:jc w:val="both"/>
      <w:outlineLvl w:val="2"/>
    </w:pPr>
    <w:rPr>
      <w:rFonts w:cs="Arial"/>
      <w:b/>
      <w:bCs/>
      <w:lang w:eastAsia="en-US"/>
    </w:rPr>
  </w:style>
  <w:style w:type="paragraph" w:styleId="Heading4">
    <w:name w:val="heading 4"/>
    <w:basedOn w:val="Normal"/>
    <w:next w:val="Normal"/>
    <w:qFormat/>
    <w:rsid w:val="00EA6B60"/>
    <w:pPr>
      <w:keepNext/>
      <w:jc w:val="both"/>
      <w:outlineLvl w:val="3"/>
    </w:pPr>
    <w:rPr>
      <w:rFonts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7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F5882"/>
    <w:pPr>
      <w:tabs>
        <w:tab w:val="center" w:pos="4153"/>
        <w:tab w:val="right" w:pos="8306"/>
      </w:tabs>
    </w:pPr>
  </w:style>
  <w:style w:type="paragraph" w:styleId="Footer">
    <w:name w:val="footer"/>
    <w:basedOn w:val="Normal"/>
    <w:link w:val="FooterChar"/>
    <w:uiPriority w:val="99"/>
    <w:rsid w:val="00FF5882"/>
    <w:pPr>
      <w:tabs>
        <w:tab w:val="center" w:pos="4153"/>
        <w:tab w:val="right" w:pos="8306"/>
      </w:tabs>
    </w:pPr>
  </w:style>
  <w:style w:type="character" w:styleId="PageNumber">
    <w:name w:val="page number"/>
    <w:basedOn w:val="DefaultParagraphFont"/>
    <w:rsid w:val="00FF5882"/>
  </w:style>
  <w:style w:type="paragraph" w:styleId="BalloonText">
    <w:name w:val="Balloon Text"/>
    <w:basedOn w:val="Normal"/>
    <w:semiHidden/>
    <w:rsid w:val="0089566A"/>
    <w:rPr>
      <w:rFonts w:ascii="Tahoma" w:hAnsi="Tahoma" w:cs="Tahoma"/>
      <w:sz w:val="16"/>
      <w:szCs w:val="16"/>
    </w:rPr>
  </w:style>
  <w:style w:type="character" w:styleId="CommentReference">
    <w:name w:val="annotation reference"/>
    <w:semiHidden/>
    <w:rsid w:val="0048656A"/>
    <w:rPr>
      <w:sz w:val="16"/>
      <w:szCs w:val="16"/>
    </w:rPr>
  </w:style>
  <w:style w:type="paragraph" w:styleId="CommentText">
    <w:name w:val="annotation text"/>
    <w:basedOn w:val="Normal"/>
    <w:semiHidden/>
    <w:rsid w:val="0048656A"/>
    <w:rPr>
      <w:sz w:val="20"/>
      <w:szCs w:val="20"/>
    </w:rPr>
  </w:style>
  <w:style w:type="paragraph" w:styleId="CommentSubject">
    <w:name w:val="annotation subject"/>
    <w:basedOn w:val="CommentText"/>
    <w:next w:val="CommentText"/>
    <w:semiHidden/>
    <w:rsid w:val="0048656A"/>
    <w:rPr>
      <w:b/>
      <w:bCs/>
    </w:rPr>
  </w:style>
  <w:style w:type="paragraph" w:customStyle="1" w:styleId="Normal-table">
    <w:name w:val="Normal - table"/>
    <w:basedOn w:val="Normal"/>
    <w:rsid w:val="00EA6B60"/>
    <w:pPr>
      <w:spacing w:before="20" w:after="20"/>
      <w:jc w:val="both"/>
    </w:pPr>
    <w:rPr>
      <w:szCs w:val="20"/>
      <w:lang w:eastAsia="en-US"/>
    </w:rPr>
  </w:style>
  <w:style w:type="paragraph" w:styleId="NormalWeb">
    <w:name w:val="Normal (Web)"/>
    <w:basedOn w:val="Normal"/>
    <w:uiPriority w:val="99"/>
    <w:rsid w:val="004472A9"/>
    <w:pPr>
      <w:spacing w:before="100" w:beforeAutospacing="1" w:after="100" w:afterAutospacing="1"/>
    </w:pPr>
    <w:rPr>
      <w:rFonts w:ascii="Times New Roman" w:hAnsi="Times New Roman"/>
    </w:rPr>
  </w:style>
  <w:style w:type="character" w:styleId="Strong">
    <w:name w:val="Strong"/>
    <w:uiPriority w:val="22"/>
    <w:qFormat/>
    <w:rsid w:val="004472A9"/>
    <w:rPr>
      <w:b/>
      <w:bCs/>
    </w:rPr>
  </w:style>
  <w:style w:type="paragraph" w:styleId="ListParagraph">
    <w:name w:val="List Paragraph"/>
    <w:basedOn w:val="Normal"/>
    <w:uiPriority w:val="34"/>
    <w:qFormat/>
    <w:rsid w:val="000C01DF"/>
    <w:pPr>
      <w:ind w:left="720"/>
    </w:pPr>
  </w:style>
  <w:style w:type="character" w:styleId="Hyperlink">
    <w:name w:val="Hyperlink"/>
    <w:rsid w:val="00906338"/>
    <w:rPr>
      <w:color w:val="0563C1"/>
      <w:u w:val="single"/>
    </w:rPr>
  </w:style>
  <w:style w:type="character" w:styleId="UnresolvedMention">
    <w:name w:val="Unresolved Mention"/>
    <w:uiPriority w:val="99"/>
    <w:semiHidden/>
    <w:unhideWhenUsed/>
    <w:rsid w:val="00906338"/>
    <w:rPr>
      <w:color w:val="605E5C"/>
      <w:shd w:val="clear" w:color="auto" w:fill="E1DFDD"/>
    </w:rPr>
  </w:style>
  <w:style w:type="character" w:styleId="PlaceholderText">
    <w:name w:val="Placeholder Text"/>
    <w:basedOn w:val="DefaultParagraphFont"/>
    <w:uiPriority w:val="99"/>
    <w:semiHidden/>
    <w:rsid w:val="00C20AE6"/>
    <w:rPr>
      <w:color w:val="808080"/>
    </w:rPr>
  </w:style>
  <w:style w:type="paragraph" w:styleId="Revision">
    <w:name w:val="Revision"/>
    <w:hidden/>
    <w:uiPriority w:val="99"/>
    <w:semiHidden/>
    <w:rsid w:val="00CF199D"/>
    <w:rPr>
      <w:rFonts w:ascii="Arial" w:hAnsi="Arial"/>
      <w:sz w:val="24"/>
      <w:szCs w:val="24"/>
    </w:rPr>
  </w:style>
  <w:style w:type="character" w:customStyle="1" w:styleId="FooterChar">
    <w:name w:val="Footer Char"/>
    <w:basedOn w:val="DefaultParagraphFont"/>
    <w:link w:val="Footer"/>
    <w:uiPriority w:val="99"/>
    <w:rsid w:val="00261E63"/>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15494">
      <w:bodyDiv w:val="1"/>
      <w:marLeft w:val="0"/>
      <w:marRight w:val="0"/>
      <w:marTop w:val="0"/>
      <w:marBottom w:val="0"/>
      <w:divBdr>
        <w:top w:val="none" w:sz="0" w:space="0" w:color="auto"/>
        <w:left w:val="none" w:sz="0" w:space="0" w:color="auto"/>
        <w:bottom w:val="none" w:sz="0" w:space="0" w:color="auto"/>
        <w:right w:val="none" w:sz="0" w:space="0" w:color="auto"/>
      </w:divBdr>
    </w:div>
    <w:div w:id="659311709">
      <w:bodyDiv w:val="1"/>
      <w:marLeft w:val="0"/>
      <w:marRight w:val="0"/>
      <w:marTop w:val="0"/>
      <w:marBottom w:val="0"/>
      <w:divBdr>
        <w:top w:val="none" w:sz="0" w:space="0" w:color="auto"/>
        <w:left w:val="none" w:sz="0" w:space="0" w:color="auto"/>
        <w:bottom w:val="none" w:sz="0" w:space="0" w:color="auto"/>
        <w:right w:val="none" w:sz="0" w:space="0" w:color="auto"/>
      </w:divBdr>
    </w:div>
    <w:div w:id="735275833">
      <w:bodyDiv w:val="1"/>
      <w:marLeft w:val="0"/>
      <w:marRight w:val="0"/>
      <w:marTop w:val="0"/>
      <w:marBottom w:val="0"/>
      <w:divBdr>
        <w:top w:val="none" w:sz="0" w:space="0" w:color="auto"/>
        <w:left w:val="none" w:sz="0" w:space="0" w:color="auto"/>
        <w:bottom w:val="none" w:sz="0" w:space="0" w:color="auto"/>
        <w:right w:val="none" w:sz="0" w:space="0" w:color="auto"/>
      </w:divBdr>
    </w:div>
    <w:div w:id="855845790">
      <w:bodyDiv w:val="1"/>
      <w:marLeft w:val="0"/>
      <w:marRight w:val="0"/>
      <w:marTop w:val="0"/>
      <w:marBottom w:val="0"/>
      <w:divBdr>
        <w:top w:val="none" w:sz="0" w:space="0" w:color="auto"/>
        <w:left w:val="none" w:sz="0" w:space="0" w:color="auto"/>
        <w:bottom w:val="none" w:sz="0" w:space="0" w:color="auto"/>
        <w:right w:val="none" w:sz="0" w:space="0" w:color="auto"/>
      </w:divBdr>
    </w:div>
    <w:div w:id="953638996">
      <w:bodyDiv w:val="1"/>
      <w:marLeft w:val="0"/>
      <w:marRight w:val="0"/>
      <w:marTop w:val="0"/>
      <w:marBottom w:val="0"/>
      <w:divBdr>
        <w:top w:val="none" w:sz="0" w:space="0" w:color="auto"/>
        <w:left w:val="none" w:sz="0" w:space="0" w:color="auto"/>
        <w:bottom w:val="none" w:sz="0" w:space="0" w:color="auto"/>
        <w:right w:val="none" w:sz="0" w:space="0" w:color="auto"/>
      </w:divBdr>
      <w:divsChild>
        <w:div w:id="1706561582">
          <w:marLeft w:val="0"/>
          <w:marRight w:val="0"/>
          <w:marTop w:val="0"/>
          <w:marBottom w:val="0"/>
          <w:divBdr>
            <w:top w:val="none" w:sz="0" w:space="0" w:color="auto"/>
            <w:left w:val="none" w:sz="0" w:space="0" w:color="auto"/>
            <w:bottom w:val="none" w:sz="0" w:space="0" w:color="auto"/>
            <w:right w:val="none" w:sz="0" w:space="0" w:color="auto"/>
          </w:divBdr>
        </w:div>
      </w:divsChild>
    </w:div>
    <w:div w:id="1090851426">
      <w:bodyDiv w:val="1"/>
      <w:marLeft w:val="0"/>
      <w:marRight w:val="0"/>
      <w:marTop w:val="0"/>
      <w:marBottom w:val="0"/>
      <w:divBdr>
        <w:top w:val="none" w:sz="0" w:space="0" w:color="auto"/>
        <w:left w:val="none" w:sz="0" w:space="0" w:color="auto"/>
        <w:bottom w:val="none" w:sz="0" w:space="0" w:color="auto"/>
        <w:right w:val="none" w:sz="0" w:space="0" w:color="auto"/>
      </w:divBdr>
    </w:div>
    <w:div w:id="1298686951">
      <w:bodyDiv w:val="1"/>
      <w:marLeft w:val="0"/>
      <w:marRight w:val="0"/>
      <w:marTop w:val="0"/>
      <w:marBottom w:val="0"/>
      <w:divBdr>
        <w:top w:val="none" w:sz="0" w:space="0" w:color="auto"/>
        <w:left w:val="none" w:sz="0" w:space="0" w:color="auto"/>
        <w:bottom w:val="none" w:sz="0" w:space="0" w:color="auto"/>
        <w:right w:val="none" w:sz="0" w:space="0" w:color="auto"/>
      </w:divBdr>
    </w:div>
    <w:div w:id="1473254105">
      <w:bodyDiv w:val="1"/>
      <w:marLeft w:val="0"/>
      <w:marRight w:val="0"/>
      <w:marTop w:val="0"/>
      <w:marBottom w:val="0"/>
      <w:divBdr>
        <w:top w:val="none" w:sz="0" w:space="0" w:color="auto"/>
        <w:left w:val="none" w:sz="0" w:space="0" w:color="auto"/>
        <w:bottom w:val="none" w:sz="0" w:space="0" w:color="auto"/>
        <w:right w:val="none" w:sz="0" w:space="0" w:color="auto"/>
      </w:divBdr>
      <w:divsChild>
        <w:div w:id="1159690871">
          <w:marLeft w:val="0"/>
          <w:marRight w:val="0"/>
          <w:marTop w:val="0"/>
          <w:marBottom w:val="0"/>
          <w:divBdr>
            <w:top w:val="none" w:sz="0" w:space="0" w:color="auto"/>
            <w:left w:val="none" w:sz="0" w:space="0" w:color="auto"/>
            <w:bottom w:val="none" w:sz="0" w:space="0" w:color="auto"/>
            <w:right w:val="none" w:sz="0" w:space="0" w:color="auto"/>
          </w:divBdr>
          <w:divsChild>
            <w:div w:id="368844217">
              <w:marLeft w:val="0"/>
              <w:marRight w:val="0"/>
              <w:marTop w:val="0"/>
              <w:marBottom w:val="0"/>
              <w:divBdr>
                <w:top w:val="none" w:sz="0" w:space="0" w:color="auto"/>
                <w:left w:val="none" w:sz="0" w:space="0" w:color="auto"/>
                <w:bottom w:val="none" w:sz="0" w:space="0" w:color="auto"/>
                <w:right w:val="none" w:sz="0" w:space="0" w:color="auto"/>
              </w:divBdr>
              <w:divsChild>
                <w:div w:id="317923874">
                  <w:marLeft w:val="0"/>
                  <w:marRight w:val="0"/>
                  <w:marTop w:val="0"/>
                  <w:marBottom w:val="0"/>
                  <w:divBdr>
                    <w:top w:val="none" w:sz="0" w:space="0" w:color="auto"/>
                    <w:left w:val="none" w:sz="0" w:space="0" w:color="auto"/>
                    <w:bottom w:val="none" w:sz="0" w:space="0" w:color="auto"/>
                    <w:right w:val="none" w:sz="0" w:space="0" w:color="auto"/>
                  </w:divBdr>
                  <w:divsChild>
                    <w:div w:id="173109640">
                      <w:marLeft w:val="0"/>
                      <w:marRight w:val="0"/>
                      <w:marTop w:val="0"/>
                      <w:marBottom w:val="0"/>
                      <w:divBdr>
                        <w:top w:val="none" w:sz="0" w:space="0" w:color="auto"/>
                        <w:left w:val="none" w:sz="0" w:space="0" w:color="auto"/>
                        <w:bottom w:val="none" w:sz="0" w:space="0" w:color="auto"/>
                        <w:right w:val="none" w:sz="0" w:space="0" w:color="auto"/>
                      </w:divBdr>
                      <w:divsChild>
                        <w:div w:id="806314968">
                          <w:marLeft w:val="0"/>
                          <w:marRight w:val="0"/>
                          <w:marTop w:val="0"/>
                          <w:marBottom w:val="0"/>
                          <w:divBdr>
                            <w:top w:val="none" w:sz="0" w:space="0" w:color="auto"/>
                            <w:left w:val="none" w:sz="0" w:space="0" w:color="auto"/>
                            <w:bottom w:val="none" w:sz="0" w:space="0" w:color="auto"/>
                            <w:right w:val="none" w:sz="0" w:space="0" w:color="auto"/>
                          </w:divBdr>
                          <w:divsChild>
                            <w:div w:id="502548276">
                              <w:marLeft w:val="0"/>
                              <w:marRight w:val="0"/>
                              <w:marTop w:val="0"/>
                              <w:marBottom w:val="0"/>
                              <w:divBdr>
                                <w:top w:val="none" w:sz="0" w:space="0" w:color="auto"/>
                                <w:left w:val="none" w:sz="0" w:space="0" w:color="auto"/>
                                <w:bottom w:val="none" w:sz="0" w:space="0" w:color="auto"/>
                                <w:right w:val="none" w:sz="0" w:space="0" w:color="auto"/>
                              </w:divBdr>
                              <w:divsChild>
                                <w:div w:id="1390499179">
                                  <w:marLeft w:val="0"/>
                                  <w:marRight w:val="0"/>
                                  <w:marTop w:val="0"/>
                                  <w:marBottom w:val="0"/>
                                  <w:divBdr>
                                    <w:top w:val="none" w:sz="0" w:space="0" w:color="auto"/>
                                    <w:left w:val="none" w:sz="0" w:space="0" w:color="auto"/>
                                    <w:bottom w:val="none" w:sz="0" w:space="0" w:color="auto"/>
                                    <w:right w:val="none" w:sz="0" w:space="0" w:color="auto"/>
                                  </w:divBdr>
                                  <w:divsChild>
                                    <w:div w:id="1077636056">
                                      <w:marLeft w:val="0"/>
                                      <w:marRight w:val="0"/>
                                      <w:marTop w:val="0"/>
                                      <w:marBottom w:val="0"/>
                                      <w:divBdr>
                                        <w:top w:val="none" w:sz="0" w:space="0" w:color="auto"/>
                                        <w:left w:val="none" w:sz="0" w:space="0" w:color="auto"/>
                                        <w:bottom w:val="none" w:sz="0" w:space="0" w:color="auto"/>
                                        <w:right w:val="none" w:sz="0" w:space="0" w:color="auto"/>
                                      </w:divBdr>
                                      <w:divsChild>
                                        <w:div w:id="426004741">
                                          <w:marLeft w:val="0"/>
                                          <w:marRight w:val="0"/>
                                          <w:marTop w:val="0"/>
                                          <w:marBottom w:val="0"/>
                                          <w:divBdr>
                                            <w:top w:val="none" w:sz="0" w:space="0" w:color="auto"/>
                                            <w:left w:val="none" w:sz="0" w:space="0" w:color="auto"/>
                                            <w:bottom w:val="none" w:sz="0" w:space="0" w:color="auto"/>
                                            <w:right w:val="none" w:sz="0" w:space="0" w:color="auto"/>
                                          </w:divBdr>
                                          <w:divsChild>
                                            <w:div w:id="1530802770">
                                              <w:marLeft w:val="0"/>
                                              <w:marRight w:val="0"/>
                                              <w:marTop w:val="0"/>
                                              <w:marBottom w:val="0"/>
                                              <w:divBdr>
                                                <w:top w:val="none" w:sz="0" w:space="0" w:color="auto"/>
                                                <w:left w:val="none" w:sz="0" w:space="0" w:color="auto"/>
                                                <w:bottom w:val="none" w:sz="0" w:space="0" w:color="auto"/>
                                                <w:right w:val="none" w:sz="0" w:space="0" w:color="auto"/>
                                              </w:divBdr>
                                              <w:divsChild>
                                                <w:div w:id="133005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317106">
      <w:bodyDiv w:val="1"/>
      <w:marLeft w:val="0"/>
      <w:marRight w:val="0"/>
      <w:marTop w:val="0"/>
      <w:marBottom w:val="0"/>
      <w:divBdr>
        <w:top w:val="none" w:sz="0" w:space="0" w:color="auto"/>
        <w:left w:val="none" w:sz="0" w:space="0" w:color="auto"/>
        <w:bottom w:val="none" w:sz="0" w:space="0" w:color="auto"/>
        <w:right w:val="none" w:sz="0" w:space="0" w:color="auto"/>
      </w:divBdr>
    </w:div>
    <w:div w:id="1951819879">
      <w:bodyDiv w:val="1"/>
      <w:marLeft w:val="0"/>
      <w:marRight w:val="0"/>
      <w:marTop w:val="0"/>
      <w:marBottom w:val="0"/>
      <w:divBdr>
        <w:top w:val="none" w:sz="0" w:space="0" w:color="auto"/>
        <w:left w:val="none" w:sz="0" w:space="0" w:color="auto"/>
        <w:bottom w:val="none" w:sz="0" w:space="0" w:color="auto"/>
        <w:right w:val="none" w:sz="0" w:space="0" w:color="auto"/>
      </w:divBdr>
    </w:div>
    <w:div w:id="208387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130d1f-cad7-413d-aee7-f6269d98420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D859FB63DCCB409273A173AB8438B6" ma:contentTypeVersion="11" ma:contentTypeDescription="Create a new document." ma:contentTypeScope="" ma:versionID="80d9d4a7cdfef59f780560ab97c3794e">
  <xsd:schema xmlns:xsd="http://www.w3.org/2001/XMLSchema" xmlns:xs="http://www.w3.org/2001/XMLSchema" xmlns:p="http://schemas.microsoft.com/office/2006/metadata/properties" xmlns:ns2="14130d1f-cad7-413d-aee7-f6269d984206" xmlns:ns3="1de3a9e0-78b6-4367-abae-875f08ce0ff0" targetNamespace="http://schemas.microsoft.com/office/2006/metadata/properties" ma:root="true" ma:fieldsID="6d04a4aa2ee2596d189daa6d3b70a8db" ns2:_="" ns3:_="">
    <xsd:import namespace="14130d1f-cad7-413d-aee7-f6269d984206"/>
    <xsd:import namespace="1de3a9e0-78b6-4367-abae-875f08ce0f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30d1f-cad7-413d-aee7-f6269d984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10de2db-5343-4cdc-a5b2-c0eb2c978ee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e3a9e0-78b6-4367-abae-875f08ce0f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18935-6532-4DA2-9353-728636C7AD32}">
  <ds:schemaRefs>
    <ds:schemaRef ds:uri="http://schemas.microsoft.com/office/2006/metadata/properties"/>
    <ds:schemaRef ds:uri="http://schemas.microsoft.com/office/infopath/2007/PartnerControls"/>
    <ds:schemaRef ds:uri="14130d1f-cad7-413d-aee7-f6269d984206"/>
  </ds:schemaRefs>
</ds:datastoreItem>
</file>

<file path=customXml/itemProps2.xml><?xml version="1.0" encoding="utf-8"?>
<ds:datastoreItem xmlns:ds="http://schemas.openxmlformats.org/officeDocument/2006/customXml" ds:itemID="{610F9FE3-E756-48FB-949C-EE518DEF4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30d1f-cad7-413d-aee7-f6269d984206"/>
    <ds:schemaRef ds:uri="1de3a9e0-78b6-4367-abae-875f08ce0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B99F1-64D1-4C33-A701-6C1BC3194B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dc:creator>
  <cp:keywords/>
  <dc:description/>
  <cp:lastModifiedBy>Hollie Storr</cp:lastModifiedBy>
  <cp:revision>10</cp:revision>
  <cp:lastPrinted>2009-02-17T13:43:00Z</cp:lastPrinted>
  <dcterms:created xsi:type="dcterms:W3CDTF">2025-04-22T10:25:00Z</dcterms:created>
  <dcterms:modified xsi:type="dcterms:W3CDTF">2025-06-26T13:50:00Z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0x0101007AD859FB63DCCB409273A173AB8438B6</vt:lpwstr>
  </property>
  <property fmtid="{D5CDD505-2E9C-101B-9397-08002B2CF9AE}" pid="3" name="MediaServiceImageTags">
    <vt:lpwstr/>
  </property>
</Properties>
</file>